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金华市自然资源和规划局关于深化“多测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合一”改革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若干</w:t>
      </w:r>
      <w:r>
        <w:rPr>
          <w:rFonts w:hint="eastAsia" w:ascii="方正小标宋简体" w:eastAsia="方正小标宋简体"/>
          <w:sz w:val="44"/>
          <w:szCs w:val="44"/>
        </w:rPr>
        <w:t>措施的通知</w:t>
      </w:r>
    </w:p>
    <w:p>
      <w:pPr>
        <w:pStyle w:val="2"/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eastAsia="zh-CN"/>
        </w:rPr>
        <w:t>（征求意见稿）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为进一步优化营商环境，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持续深化推动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“放管服”改革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减轻企业负担，促进经济稳进提质，结合我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市实际，经我局研究，</w:t>
      </w:r>
      <w:r>
        <w:rPr>
          <w:rFonts w:hint="eastAsia" w:ascii="仿宋_GB2312" w:eastAsia="仿宋_GB2312"/>
          <w:sz w:val="32"/>
          <w:szCs w:val="32"/>
          <w:lang w:eastAsia="zh-CN"/>
        </w:rPr>
        <w:t>就深化“多测合一”改革提出若干</w:t>
      </w:r>
      <w:r>
        <w:rPr>
          <w:rFonts w:hint="eastAsia" w:ascii="仿宋_GB2312" w:eastAsia="仿宋_GB2312"/>
          <w:sz w:val="32"/>
          <w:szCs w:val="32"/>
        </w:rPr>
        <w:t>措施如下：</w:t>
      </w:r>
    </w:p>
    <w:p>
      <w:pPr>
        <w:numPr>
          <w:ilvl w:val="0"/>
          <w:numId w:val="0"/>
        </w:numPr>
        <w:spacing w:line="600" w:lineRule="exact"/>
        <w:ind w:firstLine="64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一、试行绿地率核实测量承诺制。</w:t>
      </w:r>
      <w:r>
        <w:rPr>
          <w:rFonts w:hint="eastAsia" w:ascii="仿宋_GB2312" w:eastAsia="仿宋_GB2312"/>
          <w:sz w:val="32"/>
          <w:szCs w:val="32"/>
        </w:rPr>
        <w:t>本市工业类项目在尚未完成绿地施工的前提下，由建设单位提供承诺书，“多测合一”中介服务机构在竣工测量时依据承诺书，实测标示预留满足绿地率要求的绿地，按相关规定计算绿地面积和绿地率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二、优化简易项目竣工报告模板。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本市工业建设用地内标准厂房、普通仓库等功能单一、技术要求简单的产业类项目，推行简易测绘报告模板，</w:t>
      </w:r>
      <w:r>
        <w:rPr>
          <w:rFonts w:hint="eastAsia" w:ascii="仿宋_GB2312" w:eastAsia="仿宋_GB2312"/>
          <w:sz w:val="32"/>
          <w:szCs w:val="32"/>
        </w:rPr>
        <w:t>实现工业类项目竣工测绘服务时限压缩50%以上，进一步提升服务效率。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三、拓展竣工测绘成果延伸利用。</w:t>
      </w:r>
      <w:r>
        <w:rPr>
          <w:rFonts w:hint="eastAsia" w:ascii="仿宋_GB2312" w:eastAsia="仿宋_GB2312"/>
          <w:sz w:val="32"/>
          <w:szCs w:val="32"/>
        </w:rPr>
        <w:t>中介服务机构在本市承担“多测合一”项目的，应于项目完成后30天内，按基础测绘数据库标准向</w:t>
      </w:r>
      <w:r>
        <w:rPr>
          <w:rFonts w:hint="eastAsia" w:ascii="仿宋_GB2312" w:eastAsia="仿宋_GB2312"/>
          <w:sz w:val="32"/>
          <w:szCs w:val="32"/>
          <w:lang w:eastAsia="zh-CN"/>
        </w:rPr>
        <w:t>自然资源主管部门</w:t>
      </w:r>
      <w:r>
        <w:rPr>
          <w:rFonts w:hint="eastAsia" w:ascii="仿宋_GB2312" w:eastAsia="仿宋_GB2312"/>
          <w:sz w:val="32"/>
          <w:szCs w:val="32"/>
        </w:rPr>
        <w:t>汇交竣工地形图、竣工管线图成果。</w:t>
      </w:r>
      <w:r>
        <w:rPr>
          <w:rFonts w:hint="eastAsia" w:ascii="仿宋_GB2312" w:eastAsia="仿宋_GB2312"/>
          <w:sz w:val="32"/>
          <w:szCs w:val="32"/>
          <w:lang w:eastAsia="zh-CN"/>
        </w:rPr>
        <w:t>自然资源主管部门</w:t>
      </w:r>
      <w:r>
        <w:rPr>
          <w:rFonts w:hint="eastAsia" w:ascii="仿宋_GB2312" w:eastAsia="仿宋_GB2312"/>
          <w:sz w:val="32"/>
          <w:szCs w:val="32"/>
        </w:rPr>
        <w:t>归集各类竣工成果，形成竣工数据库，作为基础测绘数据库的有效补充和参考，节约财政基础测绘经费投入。</w:t>
      </w:r>
      <w:r>
        <w:rPr>
          <w:rFonts w:hint="eastAsia" w:ascii="仿宋_GB2312" w:eastAsia="仿宋_GB2312"/>
          <w:sz w:val="32"/>
          <w:szCs w:val="32"/>
          <w:lang w:eastAsia="zh-CN"/>
        </w:rPr>
        <w:t>其他非“多测合一”由财政经费投入测绘项目，也应严格按照相关标准向自然资源主管部门汇交测绘成果。</w:t>
      </w:r>
    </w:p>
    <w:p>
      <w:pPr>
        <w:spacing w:line="60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四、探索执行管线竣工数据归集。</w:t>
      </w:r>
      <w:r>
        <w:rPr>
          <w:rFonts w:hint="eastAsia" w:ascii="仿宋_GB2312" w:eastAsia="仿宋_GB2312"/>
          <w:sz w:val="32"/>
          <w:szCs w:val="32"/>
        </w:rPr>
        <w:t>测绘中介服务机构在本市承担管线测量（专项或子项）项目的，应于项目完成后30天内，按金华市地下管线数据库标准向</w:t>
      </w:r>
      <w:r>
        <w:rPr>
          <w:rFonts w:hint="eastAsia" w:ascii="仿宋_GB2312" w:eastAsia="仿宋_GB2312"/>
          <w:sz w:val="32"/>
          <w:szCs w:val="32"/>
          <w:lang w:eastAsia="zh-CN"/>
        </w:rPr>
        <w:t>自然资源主管部门</w:t>
      </w:r>
      <w:r>
        <w:rPr>
          <w:rFonts w:hint="eastAsia" w:ascii="仿宋_GB2312" w:eastAsia="仿宋_GB2312"/>
          <w:sz w:val="32"/>
          <w:szCs w:val="32"/>
        </w:rPr>
        <w:t>汇交管线测量数据成果。</w:t>
      </w:r>
    </w:p>
    <w:p>
      <w:pPr>
        <w:spacing w:line="60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五、规范行业中介单位入场服务。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凡纳入省厅“多测合一”中介服务名录库，</w:t>
      </w:r>
      <w:r>
        <w:rPr>
          <w:rFonts w:hint="eastAsia" w:ascii="仿宋_GB2312" w:eastAsia="仿宋_GB2312"/>
          <w:sz w:val="32"/>
          <w:szCs w:val="32"/>
        </w:rPr>
        <w:t>在本市行政区域内注册的独立法人测绘单位，具备工程测量、界线与不动产测绘资质的，向</w:t>
      </w:r>
      <w:r>
        <w:rPr>
          <w:rFonts w:hint="eastAsia" w:ascii="仿宋_GB2312" w:eastAsia="仿宋_GB2312"/>
          <w:sz w:val="32"/>
          <w:szCs w:val="32"/>
          <w:lang w:eastAsia="zh-CN"/>
        </w:rPr>
        <w:t>自然资源测绘主管部门</w:t>
      </w:r>
      <w:r>
        <w:rPr>
          <w:rFonts w:hint="eastAsia" w:ascii="仿宋_GB2312" w:eastAsia="仿宋_GB2312"/>
          <w:sz w:val="32"/>
          <w:szCs w:val="32"/>
        </w:rPr>
        <w:t>提出申请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入驻“多测合一”中介超市。具备相应测绘资质条件的外省市测绘单位提出申请的，</w:t>
      </w:r>
      <w:r>
        <w:rPr>
          <w:rFonts w:hint="eastAsia" w:ascii="仿宋_GB2312" w:eastAsia="仿宋_GB2312"/>
          <w:sz w:val="32"/>
          <w:szCs w:val="32"/>
          <w:lang w:eastAsia="zh-CN"/>
        </w:rPr>
        <w:t>市自然资源测绘主管部门审核</w:t>
      </w:r>
      <w:r>
        <w:rPr>
          <w:rFonts w:hint="eastAsia" w:ascii="仿宋_GB2312" w:eastAsia="仿宋_GB2312"/>
          <w:sz w:val="32"/>
          <w:szCs w:val="32"/>
        </w:rPr>
        <w:t>具备与“多测合一”业务相适应的质量</w:t>
      </w:r>
      <w:r>
        <w:rPr>
          <w:rFonts w:hint="eastAsia" w:ascii="仿宋_GB2312" w:eastAsia="仿宋_GB2312"/>
          <w:sz w:val="32"/>
          <w:szCs w:val="32"/>
          <w:lang w:eastAsia="zh-CN"/>
        </w:rPr>
        <w:t>综合管理</w:t>
      </w:r>
      <w:r>
        <w:rPr>
          <w:rFonts w:hint="eastAsia" w:ascii="仿宋_GB2312" w:eastAsia="仿宋_GB2312"/>
          <w:sz w:val="32"/>
          <w:szCs w:val="32"/>
        </w:rPr>
        <w:t>体系后入驻中介超市。</w:t>
      </w:r>
    </w:p>
    <w:p>
      <w:pPr>
        <w:spacing w:line="60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六、引导建设单位择优中介单位。</w:t>
      </w:r>
      <w:r>
        <w:rPr>
          <w:rFonts w:hint="eastAsia" w:ascii="仿宋_GB2312" w:eastAsia="仿宋_GB2312"/>
          <w:sz w:val="32"/>
          <w:szCs w:val="32"/>
          <w:lang w:eastAsia="zh-CN"/>
        </w:rPr>
        <w:t>以测绘单位年度信用信息为基础，结合“多测合一”信用评价信息，建立全市专项信用信息库，并在市资规局网站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等网络平台公布信息，引导项目建设单位选择信用好的测绘中介服务机构。</w:t>
      </w:r>
    </w:p>
    <w:p>
      <w:pPr>
        <w:spacing w:line="60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七、强化中介服务单位动态管理。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自然资源主管部门</w:t>
      </w:r>
      <w:r>
        <w:rPr>
          <w:rFonts w:hint="eastAsia" w:ascii="仿宋_GB2312" w:eastAsia="仿宋_GB2312"/>
          <w:sz w:val="32"/>
          <w:szCs w:val="32"/>
        </w:rPr>
        <w:t>动态更新并发布“多测合一”中介超市入驻名单，为新入驻中介机构提供首批质检服务，确保市场进一步开放，成果质量稳步提升。</w:t>
      </w:r>
    </w:p>
    <w:p>
      <w:pPr>
        <w:spacing w:line="600" w:lineRule="exact"/>
        <w:ind w:firstLine="64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八、提升竣工测绘成果质量水平。</w:t>
      </w:r>
      <w:r>
        <w:rPr>
          <w:rFonts w:hint="eastAsia" w:ascii="仿宋_GB2312" w:eastAsia="仿宋_GB2312"/>
          <w:sz w:val="32"/>
          <w:szCs w:val="32"/>
          <w:lang w:eastAsia="zh-CN"/>
        </w:rPr>
        <w:t>各级自然资源主管部门在“双随机”检查工作中，应加强对“多测合一”测绘成果的检查并及时公布检查成果，形成问题清单，加大督促整改力度，进一步提高测绘市场规范有序发展。</w:t>
      </w: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金华市自然资源和规划局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日   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6E"/>
    <w:rsid w:val="00206C68"/>
    <w:rsid w:val="00334D4A"/>
    <w:rsid w:val="00365F66"/>
    <w:rsid w:val="00437C54"/>
    <w:rsid w:val="0058455E"/>
    <w:rsid w:val="006D1A1D"/>
    <w:rsid w:val="00771835"/>
    <w:rsid w:val="007F425B"/>
    <w:rsid w:val="008C1797"/>
    <w:rsid w:val="008D490D"/>
    <w:rsid w:val="009B1E43"/>
    <w:rsid w:val="00A6233D"/>
    <w:rsid w:val="00B37442"/>
    <w:rsid w:val="00B86CF7"/>
    <w:rsid w:val="00D8446E"/>
    <w:rsid w:val="00FA2678"/>
    <w:rsid w:val="0FFFCBB8"/>
    <w:rsid w:val="13EAC579"/>
    <w:rsid w:val="2FCAC0D2"/>
    <w:rsid w:val="37DBC021"/>
    <w:rsid w:val="3BDF8A8E"/>
    <w:rsid w:val="44BF5585"/>
    <w:rsid w:val="4EFDCFD6"/>
    <w:rsid w:val="4F7E9A7F"/>
    <w:rsid w:val="67FFC770"/>
    <w:rsid w:val="69FB843F"/>
    <w:rsid w:val="6BFBBB74"/>
    <w:rsid w:val="6E7F36AB"/>
    <w:rsid w:val="72FE180F"/>
    <w:rsid w:val="77B7E009"/>
    <w:rsid w:val="78AF3224"/>
    <w:rsid w:val="79BF590D"/>
    <w:rsid w:val="7B573DD6"/>
    <w:rsid w:val="7D6BC534"/>
    <w:rsid w:val="7E2BC356"/>
    <w:rsid w:val="7FDF4852"/>
    <w:rsid w:val="BAEB8E05"/>
    <w:rsid w:val="BB99B852"/>
    <w:rsid w:val="BEDCC16A"/>
    <w:rsid w:val="D77F7A21"/>
    <w:rsid w:val="E7F5C007"/>
    <w:rsid w:val="E7FCA72B"/>
    <w:rsid w:val="F4BC30F4"/>
    <w:rsid w:val="F97EE94B"/>
    <w:rsid w:val="FB8DD7CC"/>
    <w:rsid w:val="FBFBDF06"/>
    <w:rsid w:val="FE972772"/>
    <w:rsid w:val="FEFDFBA6"/>
    <w:rsid w:val="FF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40" w:line="276" w:lineRule="auto"/>
    </w:pPr>
  </w:style>
  <w:style w:type="paragraph" w:styleId="3">
    <w:name w:val="Body Text First Indent"/>
    <w:basedOn w:val="2"/>
    <w:qFormat/>
    <w:uiPriority w:val="99"/>
    <w:pPr>
      <w:spacing w:after="120"/>
      <w:ind w:firstLine="420" w:firstLineChars="100"/>
    </w:pPr>
    <w:rPr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103</Words>
  <Characters>591</Characters>
  <Lines>4</Lines>
  <Paragraphs>1</Paragraphs>
  <TotalTime>112</TotalTime>
  <ScaleCrop>false</ScaleCrop>
  <LinksUpToDate>false</LinksUpToDate>
  <CharactersWithSpaces>693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2022-07-12T01:46:00Z</dcterms:created>
  <dc:creator>曹志纯</dc:creator>
  <cp:lastModifiedBy>高良林</cp:lastModifiedBy>
  <cp:lastPrinted>2022-07-25T23:47:00Z</cp:lastPrinted>
  <dcterms:modified xsi:type="dcterms:W3CDTF">2022-07-26T09:14:58Z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