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hAnsi="黑体" w:eastAsia="黑体"/>
          <w:b/>
          <w:color w:val="000000"/>
          <w:sz w:val="44"/>
          <w:highlight w:val="white"/>
          <w:lang w:val="en-US" w:eastAsia="zh-CN"/>
        </w:rPr>
      </w:pPr>
      <w:bookmarkStart w:id="0" w:name="_GoBack"/>
      <w:bookmarkEnd w:id="0"/>
      <w:r>
        <w:rPr>
          <w:rFonts w:hint="eastAsia" w:ascii="黑体" w:hAnsi="黑体" w:eastAsia="黑体"/>
          <w:b/>
          <w:color w:val="000000"/>
          <w:sz w:val="44"/>
          <w:highlight w:val="white"/>
          <w:lang w:eastAsia="zh-CN"/>
        </w:rPr>
        <w:t>金华市</w:t>
      </w:r>
      <w:r>
        <w:rPr>
          <w:rFonts w:hint="eastAsia" w:ascii="黑体" w:hAnsi="黑体" w:eastAsia="黑体"/>
          <w:b/>
          <w:color w:val="000000"/>
          <w:sz w:val="44"/>
          <w:highlight w:val="white"/>
          <w:lang w:val="en-US" w:eastAsia="zh-CN"/>
        </w:rPr>
        <w:t>自然资源和规划技术中心</w:t>
      </w:r>
    </w:p>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2020年度单位决算</w:t>
      </w:r>
    </w:p>
    <w:p>
      <w:pPr>
        <w:spacing w:beforeLines="0" w:afterLines="0" w:line="324" w:lineRule="auto"/>
        <w:jc w:val="center"/>
        <w:rPr>
          <w:rFonts w:hint="eastAsia" w:ascii="黑体" w:hAnsi="黑体" w:eastAsia="黑体"/>
          <w:b/>
          <w:color w:val="000000"/>
          <w:sz w:val="32"/>
          <w:highlight w:val="white"/>
          <w:lang w:val="en-US"/>
        </w:rPr>
      </w:pPr>
      <w:r>
        <w:rPr>
          <w:rFonts w:hint="eastAsia" w:ascii="黑体" w:hAnsi="黑体" w:eastAsia="黑体"/>
          <w:b/>
          <w:color w:val="000000"/>
          <w:sz w:val="44"/>
          <w:highlight w:val="white"/>
        </w:rPr>
        <w:t>目录</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 xml:space="preserve">2 </w:t>
      </w:r>
      <w:r>
        <w:rPr>
          <w:rFonts w:hint="eastAsia" w:ascii="等线" w:hAnsi="等线" w:eastAsia="等线"/>
          <w:sz w:val="22"/>
        </w:rPr>
        <w:t>)</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color w:val="000000"/>
          <w:sz w:val="22"/>
          <w:highlight w:val="white"/>
          <w:lang w:val="en-US" w:eastAsia="zh-CN"/>
        </w:rPr>
        <w:t xml:space="preserve"> </w:t>
      </w:r>
      <w:r>
        <w:rPr>
          <w:rFonts w:hint="eastAsia" w:ascii="等线" w:hAnsi="等线" w:eastAsia="等线"/>
          <w:sz w:val="22"/>
        </w:rPr>
        <w:t>(</w:t>
      </w:r>
      <w:r>
        <w:rPr>
          <w:rFonts w:hint="eastAsia" w:ascii="等线" w:hAnsi="等线" w:eastAsia="等线"/>
          <w:sz w:val="22"/>
          <w:lang w:val="en-US" w:eastAsia="zh-CN"/>
        </w:rPr>
        <w:t xml:space="preserve"> 2 </w:t>
      </w:r>
      <w:r>
        <w:rPr>
          <w:rFonts w:hint="eastAsia" w:ascii="等线" w:hAnsi="等线" w:eastAsia="等线"/>
          <w:sz w:val="22"/>
        </w:rPr>
        <w:t>)</w:t>
      </w:r>
    </w:p>
    <w:p>
      <w:pPr>
        <w:spacing w:beforeLines="0" w:afterLines="0"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w:t>
      </w:r>
      <w:r>
        <w:rPr>
          <w:rFonts w:hint="eastAsia" w:ascii="等线" w:hAnsi="等线" w:eastAsia="等线"/>
          <w:sz w:val="22"/>
          <w:lang w:val="en-US" w:eastAsia="zh-CN"/>
        </w:rPr>
        <w:t xml:space="preserve"> 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8</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w:t>
      </w:r>
      <w:r>
        <w:rPr>
          <w:rFonts w:hint="eastAsia" w:ascii="等线" w:hAnsi="等线" w:eastAsia="等线"/>
          <w:sz w:val="22"/>
          <w:lang w:val="en-US" w:eastAsia="zh-CN"/>
        </w:rPr>
        <w:t>9</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黑体" w:hAnsi="黑体" w:eastAsia="黑体"/>
          <w:b/>
          <w:color w:val="000000"/>
          <w:sz w:val="32"/>
          <w:highlight w:val="white"/>
          <w:lang w:val="en-US"/>
        </w:rPr>
      </w:pPr>
      <w:r>
        <w:rPr>
          <w:rFonts w:hint="eastAsia" w:ascii="等线" w:hAnsi="等线" w:eastAsia="等线"/>
          <w:color w:val="000000"/>
          <w:sz w:val="22"/>
          <w:highlight w:val="white"/>
        </w:rPr>
        <w:t>四、名词解释..................................................</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rPr>
        <w:t>(</w:t>
      </w:r>
      <w:r>
        <w:rPr>
          <w:rFonts w:hint="eastAsia" w:ascii="等线" w:hAnsi="等线" w:eastAsia="等线"/>
          <w:sz w:val="22"/>
          <w:lang w:val="en-US" w:eastAsia="zh-CN"/>
        </w:rPr>
        <w:t xml:space="preserve"> 15 </w:t>
      </w:r>
      <w:r>
        <w:rPr>
          <w:rFonts w:hint="eastAsia" w:ascii="等线" w:hAnsi="等线" w:eastAsia="等线"/>
          <w:sz w:val="22"/>
        </w:rPr>
        <w:t>)</w:t>
      </w: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sectPr>
          <w:footerReference r:id="rId3" w:type="default"/>
          <w:pgSz w:w="11906" w:h="16838"/>
          <w:pgMar w:top="1440" w:right="1800" w:bottom="1440" w:left="1800" w:header="851" w:footer="992" w:gutter="0"/>
          <w:lnNumType w:countBy="0" w:distance="360"/>
          <w:cols w:space="720" w:num="1"/>
          <w:docGrid w:type="lines" w:linePitch="312" w:charSpace="0"/>
        </w:sectPr>
      </w:pPr>
    </w:p>
    <w:p>
      <w:pPr>
        <w:spacing w:beforeLines="0" w:afterLines="0"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一、概况</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（一）部门（单位）职责</w:t>
      </w:r>
    </w:p>
    <w:p>
      <w:pPr>
        <w:shd w:val="clear" w:color="auto" w:fill="FFFFFF"/>
        <w:adjustRightInd w:val="0"/>
        <w:snapToGrid w:val="0"/>
        <w:spacing w:beforeLines="0" w:afterLines="0" w:line="560" w:lineRule="exact"/>
        <w:ind w:firstLine="640" w:firstLineChars="200"/>
        <w:rPr>
          <w:rFonts w:hint="eastAsia" w:ascii="仿宋_GB2312" w:hAnsi="仿宋_GB2312" w:eastAsia="仿宋_GB2312"/>
          <w:sz w:val="32"/>
          <w:shd w:val="clear" w:color="auto" w:fill="FFFFFF"/>
          <w:lang w:val="en-US" w:eastAsia="zh-CN"/>
        </w:rPr>
      </w:pPr>
      <w:r>
        <w:rPr>
          <w:rFonts w:hint="eastAsia" w:ascii="仿宋" w:hAnsi="仿宋" w:eastAsia="仿宋"/>
          <w:color w:val="000000"/>
          <w:sz w:val="32"/>
          <w:highlight w:val="white"/>
          <w:lang w:val="en-US"/>
        </w:rPr>
        <w:t xml:space="preserve">1. </w:t>
      </w:r>
      <w:r>
        <w:rPr>
          <w:rFonts w:hint="eastAsia" w:ascii="仿宋" w:hAnsi="仿宋" w:eastAsia="仿宋"/>
          <w:color w:val="000000"/>
          <w:sz w:val="32"/>
          <w:highlight w:val="white"/>
          <w:lang w:val="en-US" w:eastAsia="zh-CN"/>
        </w:rPr>
        <w:t>部门职责：</w:t>
      </w:r>
      <w:r>
        <w:rPr>
          <w:rFonts w:hint="eastAsia" w:ascii="仿宋_GB2312" w:hAnsi="仿宋_GB2312" w:eastAsia="仿宋_GB2312"/>
          <w:sz w:val="32"/>
          <w:shd w:val="clear" w:color="auto" w:fill="FFFFFF"/>
          <w:lang w:eastAsia="zh-CN"/>
        </w:rPr>
        <w:t>规划战略和重大规划项目研究、</w:t>
      </w:r>
      <w:r>
        <w:rPr>
          <w:rFonts w:hint="eastAsia" w:ascii="仿宋_GB2312" w:hAnsi="仿宋_GB2312" w:eastAsia="仿宋_GB2312"/>
          <w:sz w:val="32"/>
          <w:shd w:val="clear" w:color="auto" w:fill="FFFFFF"/>
          <w:lang w:val="en-US" w:eastAsia="zh-CN"/>
        </w:rPr>
        <w:t>相关国土空间规划年度编制计划制定、相关国土空间总体规划、详细规划和专项规划技术审查、电子成果建库、国土空间规划“一张图”动态维护的技术支持、自然资源和规划相关政策法规、标准规范和城市相关基础资料、动态信息的收集、整理和推广应用。</w:t>
      </w:r>
      <w:r>
        <w:rPr>
          <w:rFonts w:hint="eastAsia" w:eastAsia="仿宋_GB2312"/>
          <w:sz w:val="32"/>
          <w:shd w:val="clear" w:color="auto" w:fill="FFFFFF"/>
        </w:rPr>
        <w:t>完成金华市自然资源和规划局交办的其他任务。</w:t>
      </w:r>
      <w:r>
        <w:rPr>
          <w:rFonts w:hint="eastAsia" w:ascii="仿宋_GB2312" w:hAnsi="仿宋_GB2312" w:eastAsia="仿宋_GB2312"/>
          <w:sz w:val="32"/>
          <w:shd w:val="clear" w:color="auto" w:fill="FFFFFF"/>
          <w:lang w:val="en-US" w:eastAsia="zh-CN"/>
        </w:rPr>
        <w:t xml:space="preserve">  </w:t>
      </w:r>
    </w:p>
    <w:p>
      <w:pPr>
        <w:spacing w:beforeLines="0" w:afterLines="0" w:line="324" w:lineRule="auto"/>
        <w:ind w:firstLine="960" w:firstLineChars="300"/>
        <w:rPr>
          <w:rFonts w:hint="eastAsia" w:ascii="楷体" w:hAnsi="楷体" w:eastAsia="楷体"/>
          <w:b/>
          <w:color w:val="000000"/>
          <w:sz w:val="32"/>
          <w:highlight w:val="white"/>
          <w:lang w:val="en-US"/>
        </w:rPr>
      </w:pPr>
    </w:p>
    <w:p>
      <w:pPr>
        <w:spacing w:beforeLines="0" w:afterLines="0" w:line="324" w:lineRule="auto"/>
        <w:ind w:firstLine="960" w:firstLineChars="300"/>
        <w:rPr>
          <w:rFonts w:hint="default" w:eastAsia="Times New Roman"/>
          <w:b/>
          <w:color w:val="000000"/>
          <w:sz w:val="32"/>
          <w:highlight w:val="white"/>
          <w:lang w:val="en-US"/>
        </w:rPr>
      </w:pPr>
      <w:r>
        <w:rPr>
          <w:rFonts w:hint="eastAsia" w:ascii="楷体" w:hAnsi="楷体" w:eastAsia="楷体"/>
          <w:b/>
          <w:color w:val="000000"/>
          <w:sz w:val="32"/>
          <w:highlight w:val="white"/>
          <w:lang w:val="en-US"/>
        </w:rPr>
        <w:t>（二）机构设置</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（部门）从预算单位构成看，</w:t>
      </w:r>
      <w:r>
        <w:rPr>
          <w:rFonts w:hint="eastAsia" w:ascii="仿宋" w:hAnsi="仿宋" w:eastAsia="仿宋"/>
          <w:color w:val="auto"/>
          <w:sz w:val="32"/>
          <w:highlight w:val="white"/>
          <w:lang w:val="zh-CN"/>
        </w:rPr>
        <w:t>金华市自然资源和规划技术中心</w:t>
      </w:r>
      <w:r>
        <w:rPr>
          <w:rFonts w:hint="eastAsia" w:ascii="仿宋" w:hAnsi="仿宋" w:eastAsia="仿宋"/>
          <w:color w:val="000000"/>
          <w:sz w:val="32"/>
          <w:highlight w:val="white"/>
          <w:lang w:val="en-US"/>
        </w:rPr>
        <w:t>部门决算包括：</w:t>
      </w:r>
      <w:r>
        <w:rPr>
          <w:rFonts w:hint="eastAsia" w:ascii="仿宋" w:hAnsi="仿宋" w:eastAsia="仿宋"/>
          <w:color w:val="000000"/>
          <w:sz w:val="32"/>
          <w:highlight w:val="white"/>
          <w:lang w:val="en-US" w:eastAsia="zh-CN"/>
        </w:rPr>
        <w:t>本单位决算</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纳入金华市自然资源和规划技术中心2020年度部门决算编制范围的二级预算单位包括：无。</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（单位）从预算单位构成看，本单位内设：办公室、</w:t>
      </w:r>
      <w:r>
        <w:rPr>
          <w:rFonts w:hint="eastAsia" w:ascii="仿宋" w:hAnsi="仿宋" w:eastAsia="仿宋"/>
          <w:color w:val="000000"/>
          <w:sz w:val="32"/>
          <w:highlight w:val="white"/>
          <w:lang w:val="en-US" w:eastAsia="zh-CN"/>
        </w:rPr>
        <w:t>业务科室一</w:t>
      </w:r>
      <w:r>
        <w:rPr>
          <w:rFonts w:hint="eastAsia" w:ascii="仿宋" w:hAnsi="仿宋" w:eastAsia="仿宋"/>
          <w:color w:val="000000"/>
          <w:sz w:val="32"/>
          <w:highlight w:val="white"/>
          <w:lang w:val="en-US"/>
        </w:rPr>
        <w:t>、</w:t>
      </w:r>
      <w:r>
        <w:rPr>
          <w:rFonts w:hint="eastAsia" w:ascii="仿宋" w:hAnsi="仿宋" w:eastAsia="仿宋"/>
          <w:color w:val="000000"/>
          <w:sz w:val="32"/>
          <w:highlight w:val="white"/>
          <w:lang w:val="en-US" w:eastAsia="zh-CN"/>
        </w:rPr>
        <w:t>业务科室二、综合室</w:t>
      </w:r>
      <w:r>
        <w:rPr>
          <w:rFonts w:hint="eastAsia" w:ascii="仿宋" w:hAnsi="仿宋" w:eastAsia="仿宋"/>
          <w:color w:val="000000"/>
          <w:sz w:val="32"/>
          <w:highlight w:val="white"/>
          <w:lang w:val="en-US"/>
        </w:rPr>
        <w:t>。</w:t>
      </w:r>
    </w:p>
    <w:p>
      <w:pPr>
        <w:spacing w:beforeLines="0" w:afterLines="0"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二、2020年度部门（单位）决算公开表</w:t>
      </w:r>
    </w:p>
    <w:p>
      <w:pPr>
        <w:spacing w:beforeLines="0" w:afterLines="0" w:line="324" w:lineRule="auto"/>
        <w:ind w:firstLine="594"/>
        <w:rPr>
          <w:rFonts w:hint="default" w:eastAsia="Times New Roman"/>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beforeLines="0" w:afterLines="0" w:line="324" w:lineRule="auto"/>
        <w:ind w:firstLine="594"/>
        <w:rPr>
          <w:rFonts w:hint="default"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2020年度部门（单位）决算情况说明</w:t>
      </w:r>
    </w:p>
    <w:p>
      <w:pPr>
        <w:spacing w:beforeLines="0" w:afterLines="0" w:line="324" w:lineRule="auto"/>
        <w:ind w:firstLine="594"/>
        <w:rPr>
          <w:rFonts w:hint="default"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eastAsia="Times New Roman"/>
          <w:b/>
          <w:color w:val="000000"/>
          <w:sz w:val="32"/>
          <w:highlight w:val="white"/>
          <w:lang w:val="en-US"/>
        </w:rPr>
      </w:pPr>
      <w:r>
        <w:rPr>
          <w:rFonts w:hint="eastAsia" w:ascii="仿宋" w:hAnsi="仿宋" w:eastAsia="仿宋"/>
          <w:color w:val="000000"/>
          <w:sz w:val="32"/>
          <w:highlight w:val="white"/>
          <w:lang w:val="en-US"/>
        </w:rPr>
        <w:t>2020年度收入总计200.2万元，支出总计200.2万元,与2019年度相比，各减少</w:t>
      </w:r>
      <w:r>
        <w:rPr>
          <w:rFonts w:hint="eastAsia" w:ascii="仿宋" w:hAnsi="仿宋" w:eastAsia="仿宋"/>
          <w:color w:val="000000"/>
          <w:sz w:val="32"/>
          <w:highlight w:val="white"/>
          <w:lang w:val="en-US" w:eastAsia="zh-CN"/>
        </w:rPr>
        <w:t>23.59</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10.54</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因机构改革，人员缩减，相关费用减少</w:t>
      </w:r>
      <w:r>
        <w:rPr>
          <w:rFonts w:hint="eastAsia" w:ascii="仿宋" w:hAnsi="仿宋" w:eastAsia="仿宋"/>
          <w:color w:val="000000"/>
          <w:sz w:val="32"/>
          <w:highlight w:val="white"/>
          <w:lang w:val="en-US"/>
        </w:rPr>
        <w:t>。</w:t>
      </w:r>
    </w:p>
    <w:p>
      <w:pPr>
        <w:spacing w:beforeLines="0" w:afterLines="0" w:line="324" w:lineRule="auto"/>
        <w:ind w:firstLine="594"/>
        <w:rPr>
          <w:rFonts w:hint="default"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200.2万元；包括财政拨款收入200.2万元（其中，一般公共预算200.2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324" w:lineRule="auto"/>
        <w:ind w:firstLine="594"/>
        <w:rPr>
          <w:rFonts w:hint="default"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本年支出合计200.2万元，其中基本支出183.84万元，占91.83%；项目支出16.36万元，占8.17%；上缴上级支出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2020年度财政拨款收入总计200.2万元，支出总计200.2万元，与2019年度相比，各减少</w:t>
      </w:r>
      <w:r>
        <w:rPr>
          <w:rFonts w:hint="eastAsia" w:ascii="仿宋" w:hAnsi="仿宋" w:eastAsia="仿宋"/>
          <w:color w:val="000000"/>
          <w:sz w:val="32"/>
          <w:highlight w:val="white"/>
          <w:lang w:val="en-US" w:eastAsia="zh-CN"/>
        </w:rPr>
        <w:t>23.59</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10.54</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因机构改革，人员缩减，相关费用减少</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223.53</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89.56</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仿宋" w:eastAsia="仿宋"/>
          <w:color w:val="auto"/>
          <w:sz w:val="32"/>
          <w:highlight w:val="white"/>
          <w:lang w:val="en-US" w:eastAsia="zh-CN"/>
        </w:rPr>
        <w:t>当年结余资金财政收回</w:t>
      </w:r>
      <w:r>
        <w:rPr>
          <w:rFonts w:hint="eastAsia" w:ascii="仿宋" w:hAnsi="仿宋" w:eastAsia="仿宋"/>
          <w:color w:val="auto"/>
          <w:sz w:val="32"/>
          <w:highlight w:val="white"/>
          <w:lang w:val="en-US"/>
        </w:rPr>
        <w:t>。</w:t>
      </w:r>
    </w:p>
    <w:p>
      <w:pPr>
        <w:spacing w:beforeLines="0" w:afterLines="0" w:line="324" w:lineRule="auto"/>
        <w:ind w:firstLine="594"/>
        <w:rPr>
          <w:rFonts w:hint="default"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2020年度一般公共预算财政拨款支出200.2万元，占本年支出合计的100%。与2019年相比，一般公共预算财政拨款支出减少</w:t>
      </w:r>
      <w:r>
        <w:rPr>
          <w:rFonts w:hint="eastAsia" w:ascii="仿宋" w:hAnsi="仿宋" w:eastAsia="仿宋"/>
          <w:color w:val="000000"/>
          <w:sz w:val="32"/>
          <w:highlight w:val="white"/>
          <w:lang w:val="en-US" w:eastAsia="zh-CN"/>
        </w:rPr>
        <w:t>23.59</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10.54</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因机构改革，人员缩减，相关费用减少</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2020年度一般公共预算财政拨款支出200.2万元，主要用于以下方面：一般公共服务（类）支出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0.33</w:t>
      </w:r>
      <w:r>
        <w:rPr>
          <w:rFonts w:hint="eastAsia" w:ascii="仿宋" w:hAnsi="仿宋" w:eastAsia="仿宋"/>
          <w:color w:val="000000"/>
          <w:sz w:val="32"/>
          <w:highlight w:val="white"/>
          <w:lang w:val="en-US"/>
        </w:rPr>
        <w:t>万元,占0.17%；科学技术（类）支出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16.46</w:t>
      </w:r>
      <w:r>
        <w:rPr>
          <w:rFonts w:hint="eastAsia" w:ascii="仿宋" w:hAnsi="仿宋" w:eastAsia="仿宋"/>
          <w:color w:val="000000"/>
          <w:sz w:val="32"/>
          <w:highlight w:val="white"/>
          <w:lang w:val="en-US"/>
        </w:rPr>
        <w:t>万元,占8.22%；卫生健康（类）支出</w:t>
      </w:r>
      <w:r>
        <w:rPr>
          <w:rFonts w:hint="eastAsia" w:ascii="仿宋" w:hAnsi="仿宋" w:eastAsia="仿宋"/>
          <w:color w:val="auto"/>
          <w:sz w:val="32"/>
          <w:highlight w:val="white"/>
          <w:lang w:val="zh-CN"/>
        </w:rPr>
        <w:t>6.77</w:t>
      </w:r>
      <w:r>
        <w:rPr>
          <w:rFonts w:hint="eastAsia" w:ascii="仿宋" w:hAnsi="仿宋" w:eastAsia="仿宋"/>
          <w:color w:val="000000"/>
          <w:sz w:val="32"/>
          <w:highlight w:val="white"/>
          <w:lang w:val="en-US"/>
        </w:rPr>
        <w:t>万元,占3.38%；节能环保（类）支出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160.36</w:t>
      </w:r>
      <w:r>
        <w:rPr>
          <w:rFonts w:hint="eastAsia" w:ascii="仿宋" w:hAnsi="仿宋" w:eastAsia="仿宋"/>
          <w:color w:val="000000"/>
          <w:sz w:val="32"/>
          <w:highlight w:val="white"/>
          <w:lang w:val="en-US"/>
        </w:rPr>
        <w:t>万元,占80.1%；农林水（类）支出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auto"/>
          <w:sz w:val="32"/>
          <w:highlight w:val="white"/>
          <w:lang w:val="zh-CN"/>
        </w:rPr>
        <w:t>16.28</w:t>
      </w:r>
      <w:r>
        <w:rPr>
          <w:rFonts w:hint="eastAsia" w:ascii="仿宋" w:hAnsi="仿宋" w:eastAsia="仿宋"/>
          <w:color w:val="000000"/>
          <w:sz w:val="32"/>
          <w:highlight w:val="white"/>
          <w:lang w:val="en-US"/>
        </w:rPr>
        <w:t>万元,占8.13%；粮油物资储备（类）支出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一般公共预算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223.53</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200.2万元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89.56</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仿宋" w:eastAsia="仿宋"/>
          <w:color w:val="auto"/>
          <w:sz w:val="32"/>
          <w:highlight w:val="white"/>
          <w:lang w:val="en-US" w:eastAsia="zh-CN"/>
        </w:rPr>
        <w:t>当年结余资金财政收回</w:t>
      </w:r>
      <w:r>
        <w:rPr>
          <w:rFonts w:hint="eastAsia" w:ascii="仿宋" w:hAnsi="仿宋" w:eastAsia="仿宋"/>
          <w:color w:val="auto"/>
          <w:sz w:val="32"/>
          <w:highlight w:val="white"/>
          <w:lang w:val="en-US"/>
        </w:rPr>
        <w:t>。</w:t>
      </w:r>
    </w:p>
    <w:p>
      <w:pPr>
        <w:spacing w:beforeLines="0" w:afterLines="0" w:line="324" w:lineRule="auto"/>
        <w:ind w:firstLine="640" w:firstLineChars="200"/>
        <w:rPr>
          <w:rFonts w:hint="eastAsia" w:ascii="仿宋" w:hAnsi="仿宋" w:eastAsia="仿宋"/>
          <w:color w:val="auto"/>
          <w:sz w:val="32"/>
          <w:highlight w:val="white"/>
          <w:lang w:val="en-US" w:eastAsia="zh-CN"/>
        </w:rPr>
      </w:pPr>
      <w:r>
        <w:rPr>
          <w:rFonts w:hint="eastAsia" w:ascii="仿宋" w:hAnsi="仿宋" w:eastAsia="仿宋"/>
          <w:color w:val="auto"/>
          <w:sz w:val="32"/>
          <w:highlight w:val="white"/>
          <w:lang w:val="en-US" w:eastAsia="zh-CN"/>
        </w:rPr>
        <w:t>教育支出（类）进修及培训（款）培训支出（项）。年初预算为1.71万元，支出决算为3349.6元，完成年初预算的20%，主要原因是安排人员培训次数不多。</w:t>
      </w:r>
    </w:p>
    <w:p>
      <w:pPr>
        <w:spacing w:beforeLines="0" w:afterLines="0" w:line="324" w:lineRule="auto"/>
        <w:ind w:firstLine="640" w:firstLineChars="200"/>
        <w:rPr>
          <w:rFonts w:hint="eastAsia" w:ascii="仿宋" w:hAnsi="仿宋" w:eastAsia="仿宋"/>
          <w:color w:val="000000"/>
          <w:sz w:val="32"/>
          <w:highlight w:val="white"/>
          <w:lang w:eastAsia="zh-CN"/>
        </w:rPr>
      </w:pPr>
      <w:r>
        <w:rPr>
          <w:rFonts w:hint="eastAsia" w:ascii="仿宋" w:hAnsi="仿宋" w:eastAsia="仿宋"/>
          <w:color w:val="000000"/>
          <w:sz w:val="32"/>
          <w:highlight w:val="white"/>
        </w:rPr>
        <w:t>社会保障和就业支出（类）行政事业单位养老支出（款）机关事业单位基本养老保险缴费支出（项）。</w:t>
      </w:r>
      <w:r>
        <w:rPr>
          <w:rFonts w:hint="eastAsia" w:ascii="仿宋" w:hAnsi="仿宋" w:eastAsia="仿宋"/>
          <w:color w:val="000000"/>
          <w:sz w:val="32"/>
          <w:highlight w:val="white"/>
          <w:lang w:eastAsia="zh-CN"/>
        </w:rPr>
        <w:t>年初预算为</w:t>
      </w:r>
      <w:r>
        <w:rPr>
          <w:rFonts w:hint="eastAsia" w:ascii="仿宋" w:hAnsi="仿宋" w:eastAsia="仿宋"/>
          <w:color w:val="000000"/>
          <w:sz w:val="32"/>
          <w:highlight w:val="white"/>
          <w:lang w:val="en-US" w:eastAsia="zh-CN"/>
        </w:rPr>
        <w:t>10.51万元，支出决算数为10.51万元，完成年初预算的100%，</w:t>
      </w:r>
      <w:r>
        <w:rPr>
          <w:rFonts w:hint="eastAsia" w:ascii="仿宋" w:hAnsi="仿宋" w:eastAsia="仿宋"/>
          <w:color w:val="000000"/>
          <w:sz w:val="32"/>
          <w:highlight w:val="white"/>
        </w:rPr>
        <w:t>决算数等于预算数的主要原因执算执行情况良好</w:t>
      </w:r>
      <w:r>
        <w:rPr>
          <w:rFonts w:hint="eastAsia" w:ascii="仿宋" w:hAnsi="仿宋" w:eastAsia="仿宋"/>
          <w:color w:val="000000"/>
          <w:sz w:val="32"/>
          <w:highlight w:val="white"/>
          <w:lang w:eastAsia="zh-CN"/>
        </w:rPr>
        <w:t>。</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rPr>
        <w:t>社会保障和就业支出（类）行政事业单位养老支出（款）机关事业单位职业年金缴费支出（项）。</w:t>
      </w:r>
      <w:r>
        <w:rPr>
          <w:rFonts w:hint="eastAsia" w:ascii="仿宋" w:hAnsi="仿宋" w:eastAsia="仿宋"/>
          <w:color w:val="000000"/>
          <w:sz w:val="32"/>
          <w:highlight w:val="white"/>
          <w:lang w:eastAsia="zh-CN"/>
        </w:rPr>
        <w:t>年初预算数为</w:t>
      </w:r>
      <w:r>
        <w:rPr>
          <w:rFonts w:hint="eastAsia" w:ascii="仿宋" w:hAnsi="仿宋" w:eastAsia="仿宋"/>
          <w:color w:val="000000"/>
          <w:sz w:val="32"/>
          <w:highlight w:val="white"/>
          <w:lang w:val="en-US" w:eastAsia="zh-CN"/>
        </w:rPr>
        <w:t>5.16万元，支出决算数为5.03万元97%，原因是因机构改革，人员缩减，相关费用减少。</w:t>
      </w:r>
    </w:p>
    <w:p>
      <w:pPr>
        <w:spacing w:beforeLines="0" w:afterLines="0" w:line="324" w:lineRule="auto"/>
        <w:ind w:firstLine="640" w:firstLineChars="200"/>
        <w:rPr>
          <w:rFonts w:hint="eastAsia" w:ascii="仿宋" w:hAnsi="仿宋" w:eastAsia="仿宋"/>
          <w:color w:val="000000"/>
          <w:sz w:val="32"/>
          <w:highlight w:val="white"/>
          <w:lang w:eastAsia="zh-CN"/>
        </w:rPr>
      </w:pPr>
      <w:r>
        <w:rPr>
          <w:rFonts w:hint="eastAsia" w:ascii="仿宋" w:hAnsi="仿宋" w:eastAsia="仿宋"/>
          <w:color w:val="000000"/>
          <w:sz w:val="32"/>
          <w:highlight w:val="white"/>
        </w:rPr>
        <w:t>卫生健康支出（类）行政事业单位医疗（款）行政单位医疗（项）。</w:t>
      </w:r>
      <w:r>
        <w:rPr>
          <w:rFonts w:hint="eastAsia" w:ascii="仿宋" w:hAnsi="仿宋" w:eastAsia="仿宋"/>
          <w:color w:val="000000"/>
          <w:sz w:val="32"/>
          <w:highlight w:val="white"/>
          <w:lang w:eastAsia="zh-CN"/>
        </w:rPr>
        <w:t>年初预算数为</w:t>
      </w:r>
      <w:r>
        <w:rPr>
          <w:rFonts w:hint="eastAsia" w:ascii="仿宋" w:hAnsi="仿宋" w:eastAsia="仿宋"/>
          <w:color w:val="000000"/>
          <w:sz w:val="32"/>
          <w:highlight w:val="white"/>
          <w:lang w:val="en-US" w:eastAsia="zh-CN"/>
        </w:rPr>
        <w:t>6.77万元，支出决算数为6.77万元，完成年初预算的100%，</w:t>
      </w:r>
      <w:r>
        <w:rPr>
          <w:rFonts w:hint="eastAsia" w:ascii="仿宋" w:hAnsi="仿宋" w:eastAsia="仿宋"/>
          <w:color w:val="000000"/>
          <w:sz w:val="32"/>
          <w:highlight w:val="white"/>
        </w:rPr>
        <w:t>决算数等于预算数的主要原因执算执行情况良好</w:t>
      </w:r>
      <w:r>
        <w:rPr>
          <w:rFonts w:hint="eastAsia" w:ascii="仿宋" w:hAnsi="仿宋" w:eastAsia="仿宋"/>
          <w:color w:val="000000"/>
          <w:sz w:val="32"/>
          <w:highlight w:val="white"/>
          <w:lang w:eastAsia="zh-CN"/>
        </w:rPr>
        <w:t>。</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rPr>
        <w:t>住房保障支出（类）住房改革支出（款）住房公积金（项）。</w:t>
      </w:r>
      <w:r>
        <w:rPr>
          <w:rFonts w:hint="eastAsia" w:ascii="仿宋" w:hAnsi="仿宋" w:eastAsia="仿宋"/>
          <w:color w:val="000000"/>
          <w:sz w:val="32"/>
          <w:highlight w:val="white"/>
          <w:lang w:eastAsia="zh-CN"/>
        </w:rPr>
        <w:t>年初预算数为</w:t>
      </w:r>
      <w:r>
        <w:rPr>
          <w:rFonts w:hint="eastAsia" w:ascii="仿宋" w:hAnsi="仿宋" w:eastAsia="仿宋"/>
          <w:color w:val="000000"/>
          <w:sz w:val="32"/>
          <w:highlight w:val="white"/>
          <w:lang w:val="en-US" w:eastAsia="zh-CN"/>
        </w:rPr>
        <w:t>16.38万元，支出决算数为14.98，完成年初预算的92%，原因是因机构改革，人员缩减，相关费用减少。</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城乡社区支出（类）城乡社区规划与管理（款）城乡社区规划与管理（项）。</w:t>
      </w:r>
      <w:r>
        <w:rPr>
          <w:rFonts w:hint="eastAsia" w:ascii="仿宋" w:hAnsi="仿宋" w:eastAsia="仿宋"/>
          <w:color w:val="000000"/>
          <w:sz w:val="32"/>
          <w:highlight w:val="white"/>
          <w:lang w:eastAsia="zh-CN"/>
        </w:rPr>
        <w:t>年初预算数为</w:t>
      </w:r>
      <w:r>
        <w:rPr>
          <w:rFonts w:hint="eastAsia" w:ascii="仿宋" w:hAnsi="仿宋" w:eastAsia="仿宋"/>
          <w:color w:val="000000"/>
          <w:sz w:val="32"/>
          <w:highlight w:val="white"/>
          <w:lang w:val="en-US" w:eastAsia="zh-CN"/>
        </w:rPr>
        <w:t>164.24万元，支出决算数为160.36，完成年初预算98%，原因是因机构改革，人员缩减，相关费用减少。</w:t>
      </w:r>
    </w:p>
    <w:p>
      <w:pPr>
        <w:spacing w:beforeLines="0" w:afterLines="0" w:line="324" w:lineRule="auto"/>
        <w:ind w:firstLine="640" w:firstLineChars="200"/>
        <w:rPr>
          <w:rFonts w:hint="eastAsia" w:ascii="仿宋" w:hAnsi="仿宋" w:eastAsia="仿宋"/>
          <w:color w:val="auto"/>
          <w:sz w:val="32"/>
          <w:highlight w:val="white"/>
          <w:lang w:val="en-US" w:eastAsia="zh-CN"/>
        </w:rPr>
      </w:pPr>
    </w:p>
    <w:p>
      <w:pPr>
        <w:spacing w:beforeLines="0" w:afterLines="0" w:line="324" w:lineRule="auto"/>
        <w:ind w:firstLine="594"/>
        <w:rPr>
          <w:rFonts w:hint="eastAsia" w:ascii="楷体" w:hAnsi="楷体" w:eastAsia="楷体"/>
          <w:b/>
          <w:color w:val="000000"/>
          <w:sz w:val="32"/>
          <w:highlight w:val="white"/>
          <w:lang w:val="en-US"/>
        </w:rPr>
      </w:pPr>
    </w:p>
    <w:p>
      <w:pPr>
        <w:spacing w:beforeLines="0" w:afterLines="0" w:line="324" w:lineRule="auto"/>
        <w:ind w:firstLine="594"/>
        <w:rPr>
          <w:rFonts w:hint="default" w:eastAsia="Times New Roman"/>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2020年度一般公共预算财政拨款基本支出183.84万元，其中：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人员经费150.4</w:t>
      </w:r>
      <w:r>
        <w:rPr>
          <w:rFonts w:hint="eastAsia" w:ascii="仿宋" w:hAnsi="仿宋" w:eastAsia="仿宋"/>
          <w:color w:val="000000"/>
          <w:sz w:val="32"/>
          <w:highlight w:val="white"/>
          <w:lang w:val="en-US" w:eastAsia="zh-CN"/>
        </w:rPr>
        <w:t>3</w:t>
      </w:r>
      <w:r>
        <w:rPr>
          <w:rFonts w:hint="eastAsia" w:ascii="仿宋" w:hAnsi="仿宋" w:eastAsia="仿宋"/>
          <w:color w:val="000000"/>
          <w:sz w:val="32"/>
          <w:highlight w:val="white"/>
          <w:lang w:val="en-US"/>
        </w:rPr>
        <w:t>万元，主要包括：基本工资、津贴补贴、奖金、绩效工资</w:t>
      </w:r>
      <w:r>
        <w:rPr>
          <w:rFonts w:hint="eastAsia" w:ascii="仿宋" w:hAnsi="仿宋" w:eastAsia="仿宋"/>
          <w:color w:val="000000"/>
          <w:sz w:val="32"/>
          <w:highlight w:val="white"/>
          <w:lang w:val="en-US" w:eastAsia="zh-CN"/>
        </w:rPr>
        <w:t>、机关事业单位基本养老保险缴费、职业年金缴费、职工基本医疗保险缴费、公务员医疗补助缴费、其他社会保障缴费、住房公积金、其他工资福利支出、对个人和家庭的补助</w:t>
      </w:r>
      <w:r>
        <w:rPr>
          <w:rFonts w:hint="eastAsia" w:ascii="仿宋" w:hAnsi="仿宋" w:eastAsia="仿宋"/>
          <w:color w:val="000000"/>
          <w:sz w:val="32"/>
          <w:highlight w:val="white"/>
          <w:lang w:val="en-US"/>
        </w:rPr>
        <w:t>。</w:t>
      </w:r>
    </w:p>
    <w:p>
      <w:pPr>
        <w:spacing w:beforeLines="0" w:afterLines="0" w:line="324" w:lineRule="auto"/>
        <w:ind w:firstLine="594"/>
        <w:rPr>
          <w:rFonts w:hint="default" w:eastAsia="Times New Roman"/>
          <w:color w:val="000000"/>
          <w:sz w:val="32"/>
          <w:highlight w:val="white"/>
          <w:lang w:val="en-US"/>
        </w:rPr>
      </w:pPr>
      <w:r>
        <w:rPr>
          <w:rFonts w:hint="eastAsia" w:ascii="仿宋" w:hAnsi="仿宋" w:eastAsia="仿宋"/>
          <w:color w:val="000000"/>
          <w:sz w:val="32"/>
          <w:highlight w:val="white"/>
          <w:lang w:val="en-US"/>
        </w:rPr>
        <w:t>公用经费33.41万元，主要包括：办公费、印刷费、</w:t>
      </w:r>
      <w:r>
        <w:rPr>
          <w:rFonts w:hint="eastAsia" w:ascii="仿宋" w:hAnsi="仿宋" w:eastAsia="仿宋"/>
          <w:color w:val="000000"/>
          <w:sz w:val="32"/>
          <w:highlight w:val="white"/>
          <w:lang w:val="en-US" w:eastAsia="zh-CN"/>
        </w:rPr>
        <w:t>水费、电费、培训费、劳务费、工会经费、福利费、其他商品和服务支出</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（七）政府性基金预算财政拨款支出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r>
        <w:rPr>
          <w:rFonts w:hint="eastAsia" w:ascii="仿宋" w:hAnsi="仿宋" w:eastAsia="仿宋"/>
          <w:b/>
          <w:color w:val="000000"/>
          <w:sz w:val="32"/>
          <w:highlight w:val="white"/>
          <w:lang w:val="en-US"/>
        </w:rPr>
        <w:t>（如无，</w:t>
      </w:r>
      <w:r>
        <w:rPr>
          <w:rFonts w:hint="eastAsia" w:ascii="仿宋" w:hAnsi="仿宋" w:eastAsia="仿宋"/>
          <w:color w:val="000000"/>
          <w:sz w:val="32"/>
          <w:highlight w:val="white"/>
          <w:lang w:val="en-US"/>
        </w:rPr>
        <w:t>则写“本部门（单位）2020年度无政府性基金预算财政拨款收支安排，故无相关数据，并在公开10表下备注相同文字”</w:t>
      </w:r>
      <w:r>
        <w:rPr>
          <w:rFonts w:hint="eastAsia" w:ascii="仿宋" w:hAnsi="仿宋" w:eastAsia="仿宋"/>
          <w:b/>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1.政府性基金预算财政拨款支出决算总体情况。</w:t>
      </w:r>
    </w:p>
    <w:p>
      <w:pPr>
        <w:spacing w:beforeLines="0" w:afterLines="0" w:line="324" w:lineRule="auto"/>
        <w:ind w:firstLine="606"/>
        <w:rPr>
          <w:rFonts w:hint="eastAsia" w:ascii="仿宋_GB2312" w:hAnsi="仿宋_GB2312" w:eastAsia="仿宋_GB2312"/>
          <w:b/>
          <w:color w:val="000000"/>
          <w:sz w:val="32"/>
          <w:highlight w:val="white"/>
          <w:lang w:val="en-US"/>
        </w:rPr>
      </w:pPr>
      <w:r>
        <w:rPr>
          <w:rFonts w:hint="eastAsia" w:ascii="仿宋" w:hAnsi="仿宋" w:eastAsia="仿宋"/>
          <w:color w:val="000000"/>
          <w:sz w:val="32"/>
          <w:highlight w:val="white"/>
          <w:lang w:val="en-US"/>
        </w:rPr>
        <w:t>2020年度政府性基金预算财政拨款支出0万元，占本年支出合计的0%。与2019年相比，政府性基金预算财政拨款支出增加/减少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2.政府性基金预算财政拨款支出决算结构情况。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2020年度政府性基金预算财政拨款支出0万元，主要用于以下方面：科学技术（类）支出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万元,占0%；节能环保（类）支出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万元,占0%；交通运输（类）支出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万元,占0%；资源勘探信息等（类）支出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万元,占0%；抗疫特别国债安排（类）支出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3.政府性基金预算财政拨款支出决算具体情况。</w:t>
      </w:r>
    </w:p>
    <w:p>
      <w:pPr>
        <w:spacing w:beforeLines="0" w:afterLines="0" w:line="324" w:lineRule="auto"/>
        <w:ind w:firstLine="594"/>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rPr>
        <w:t>本部门（单位）2020年度无政府性基金预算财政拨款收支安排，故无相关数据</w:t>
      </w:r>
      <w:r>
        <w:rPr>
          <w:rFonts w:hint="eastAsia" w:ascii="仿宋" w:hAnsi="仿宋" w:eastAsia="仿宋"/>
          <w:color w:val="000000"/>
          <w:sz w:val="32"/>
          <w:highlight w:val="white"/>
          <w:lang w:val="en-US" w:eastAsia="zh-CN"/>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（八）国有资本经营预算财政拨款支出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r>
        <w:rPr>
          <w:rFonts w:hint="eastAsia" w:ascii="仿宋" w:hAnsi="仿宋" w:eastAsia="仿宋"/>
          <w:b/>
          <w:color w:val="000000"/>
          <w:sz w:val="32"/>
          <w:highlight w:val="white"/>
          <w:lang w:val="en-US"/>
        </w:rPr>
        <w:t>（如无，</w:t>
      </w:r>
      <w:r>
        <w:rPr>
          <w:rFonts w:hint="eastAsia" w:ascii="仿宋" w:hAnsi="仿宋" w:eastAsia="仿宋"/>
          <w:color w:val="000000"/>
          <w:sz w:val="32"/>
          <w:highlight w:val="white"/>
          <w:lang w:val="en-US"/>
        </w:rPr>
        <w:t>则写“本部门（单位）2020年度无国有资本经营预算财政拨款收支安排，故无相关数据，并在公开11表下备注相同文字”</w:t>
      </w:r>
      <w:r>
        <w:rPr>
          <w:rFonts w:hint="eastAsia" w:ascii="仿宋" w:hAnsi="仿宋" w:eastAsia="仿宋"/>
          <w:b/>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1.国有资本经营预算财政拨款支出决算总体情况。</w:t>
      </w:r>
    </w:p>
    <w:p>
      <w:pPr>
        <w:spacing w:beforeLines="0" w:afterLines="0" w:line="324" w:lineRule="auto"/>
        <w:ind w:firstLine="606"/>
        <w:rPr>
          <w:rFonts w:hint="eastAsia" w:ascii="仿宋_GB2312" w:hAnsi="仿宋_GB2312" w:eastAsia="仿宋_GB2312"/>
          <w:b/>
          <w:color w:val="000000"/>
          <w:sz w:val="32"/>
          <w:highlight w:val="white"/>
          <w:lang w:val="en-US"/>
        </w:rPr>
      </w:pPr>
      <w:r>
        <w:rPr>
          <w:rFonts w:hint="eastAsia" w:ascii="仿宋" w:hAnsi="仿宋" w:eastAsia="仿宋"/>
          <w:color w:val="000000"/>
          <w:sz w:val="32"/>
          <w:highlight w:val="white"/>
          <w:lang w:val="en-US"/>
        </w:rPr>
        <w:t>2020年度国有资本经营预算财政拨款支出0万元，占本年支出合计的0%。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2.国有资本经营预算财政拨款支出决算结构情况。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2020年度国有资本经营预算财政拨款支出0万元，主要用于以下方面：国有资本经营（类）支出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3.国有资本经营预算财政拨款支出决算具体情况。</w:t>
      </w:r>
    </w:p>
    <w:p>
      <w:pPr>
        <w:spacing w:beforeLines="0" w:afterLines="0" w:line="324" w:lineRule="auto"/>
        <w:ind w:firstLine="594"/>
        <w:rPr>
          <w:rFonts w:hint="eastAsia" w:ascii="仿宋" w:hAnsi="仿宋" w:eastAsia="仿宋"/>
          <w:color w:val="000000"/>
          <w:sz w:val="32"/>
          <w:highlight w:val="white"/>
          <w:lang w:val="en-US" w:eastAsia="zh-CN"/>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国有资本经营预算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0</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0万元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，主要原因是</w:t>
      </w:r>
      <w:r>
        <w:rPr>
          <w:rFonts w:hint="eastAsia" w:ascii="仿宋" w:hAnsi="仿宋" w:eastAsia="仿宋"/>
          <w:color w:val="auto"/>
          <w:sz w:val="32"/>
          <w:highlight w:val="white"/>
          <w:lang w:val="en-US" w:eastAsia="zh-CN"/>
        </w:rPr>
        <w:t>无。</w:t>
      </w:r>
      <w:r>
        <w:rPr>
          <w:rFonts w:hint="eastAsia" w:ascii="仿宋" w:hAnsi="仿宋" w:eastAsia="仿宋"/>
          <w:color w:val="000000"/>
          <w:sz w:val="32"/>
          <w:highlight w:val="white"/>
          <w:lang w:val="en-US"/>
        </w:rPr>
        <w:t>本部门（单位）2020年度无国有资本经营预算财政拨款收支安排，故无相关数据</w:t>
      </w:r>
      <w:r>
        <w:rPr>
          <w:rFonts w:hint="eastAsia" w:ascii="仿宋" w:hAnsi="仿宋" w:eastAsia="仿宋"/>
          <w:color w:val="000000"/>
          <w:sz w:val="32"/>
          <w:highlight w:val="white"/>
          <w:lang w:val="en-US" w:eastAsia="zh-CN"/>
        </w:rPr>
        <w:t>。</w:t>
      </w:r>
    </w:p>
    <w:p>
      <w:pPr>
        <w:spacing w:beforeLines="0" w:afterLines="0" w:line="324" w:lineRule="auto"/>
        <w:ind w:firstLine="594"/>
        <w:rPr>
          <w:rFonts w:hint="default" w:eastAsia="Times New Roman"/>
          <w:b/>
          <w:color w:val="000000"/>
          <w:sz w:val="32"/>
          <w:highlight w:val="white"/>
          <w:lang w:val="en-US"/>
        </w:rPr>
      </w:pPr>
      <w:r>
        <w:rPr>
          <w:rFonts w:hint="eastAsia" w:ascii="楷体" w:hAnsi="楷体" w:eastAsia="楷体"/>
          <w:b/>
          <w:color w:val="000000"/>
          <w:sz w:val="32"/>
          <w:highlight w:val="white"/>
          <w:lang w:val="en-US"/>
        </w:rPr>
        <w:t>（九）一般公共预算财政拨款“三公”经费支出决算情况说明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 xml:space="preserve">1.“三公”经费一般公共预算财政拨款支出决算总体情况说明。 </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2020年度“三公”经费一般公共预算财政拨款支出预算为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%,2020年度“三公”经费支出决算数大于（或小于）预算数的主要原因是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2.“三公”经费一般公共预算财政拨款支出决算具体情况说明。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2020年度“三公”经费一般公共预算财政拨款支出决算中，因公出国（境）费用支出决算为0万元，占0%，与2019年度相比，增加/减少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；公务用车购置及运行维护费支出决算为0万元，占0%，与2019年度相比，增加/减少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；公务接待费支出决算为0万元，占0%，与2019年度相比，增加/减少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具体情况如下：</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w:t>
      </w:r>
      <w:r>
        <w:rPr>
          <w:rFonts w:hint="eastAsia" w:ascii="仿宋" w:hAnsi="仿宋" w:eastAsia="仿宋"/>
          <w:color w:val="000000"/>
          <w:sz w:val="32"/>
          <w:highlight w:val="white"/>
          <w:lang w:val="en-US" w:eastAsia="zh-CN"/>
        </w:rPr>
        <w:t>的</w:t>
      </w:r>
      <w:r>
        <w:rPr>
          <w:rFonts w:hint="eastAsia" w:ascii="仿宋" w:hAnsi="仿宋" w:eastAsia="仿宋"/>
          <w:color w:val="000000"/>
          <w:sz w:val="32"/>
          <w:highlight w:val="white"/>
          <w:lang w:val="en-US"/>
        </w:rPr>
        <w:t>公务出国（境）的住宿费、国际旅费、培训费、公杂费等支出。决算数小于（或大于）预算数的主要原因是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。全年使用一般公共预算财政拨款支出涉及因公出国(境)团组0个；累计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人次。开支内容包括：</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（2）公务用车购置及运行维护费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%。决算数小于（或大于）预算数的主要原因是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万元（含购置税等附加费用），完成预算的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%。决算数小于（或大于）预算数的主要原因是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辆公务用车；</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%。决算数小于（或大于）预算数的主要原因是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。主要用于所需的公务用车燃料费、维修费、过路过桥费、保险费、安全奖励费用等支出；2020年度，本级及所属单位开支一般公共预算财政拨款的公务用车保有量为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%。主要用于接待支出。决算数小于（或大于）预算数的主要原因是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全年使用一般公共预算财政拨款国内公务接待0团组，累计0人次。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外宾接待</w:t>
      </w:r>
      <w:r>
        <w:rPr>
          <w:rFonts w:hint="eastAsia" w:ascii="仿宋" w:hAnsi="仿宋" w:eastAsia="仿宋"/>
          <w:color w:val="000000"/>
          <w:sz w:val="32"/>
          <w:highlight w:val="white"/>
          <w:lang w:val="en-US"/>
        </w:rPr>
        <w:t>支出0万元，主要用于接待0团组，0人次。</w:t>
      </w:r>
    </w:p>
    <w:p>
      <w:pPr>
        <w:spacing w:beforeLines="0" w:afterLines="0" w:line="324" w:lineRule="auto"/>
        <w:ind w:firstLine="594"/>
        <w:rPr>
          <w:rFonts w:hint="default" w:eastAsia="Times New Roman"/>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支出0万元，主要用于接待0团组，0人次。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2020年度机关运行经费年初预算数为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%，决算数大于（或小于）预算数的主要原因</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；比2019年度增加（减少）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8.2</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8.2</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8.2</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beforeLines="0" w:afterLines="0" w:line="324" w:lineRule="auto"/>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截至2020年12月31日，XX本级及所属各单位共有车辆</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辆，其中，副部（省）级及以上领导用车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辆、主要领导干部用车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辆、机要通信用车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辆、应急保障用车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辆、执法执勤用车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辆、特种专业技术用车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辆、离退休干部用车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辆、其他用车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辆,其他用车主要是</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；单价50万元以上通用设备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台（套），单价100万元以上专用设备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w:t>
      </w:r>
      <w:r>
        <w:rPr>
          <w:rFonts w:hint="eastAsia" w:ascii="仿宋_GB2312" w:hAnsi="仿宋_GB2312" w:eastAsia="仿宋_GB2312"/>
          <w:color w:val="000000"/>
          <w:sz w:val="32"/>
          <w:highlight w:val="white"/>
          <w:lang w:val="en-US"/>
        </w:rPr>
        <w:t xml:space="preserve"> </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根据预算绩效管理要求，</w:t>
      </w:r>
      <w:r>
        <w:rPr>
          <w:rFonts w:hint="eastAsia" w:ascii="仿宋" w:hAnsi="仿宋" w:eastAsia="仿宋"/>
          <w:color w:val="000000"/>
          <w:sz w:val="32"/>
          <w:lang w:val="en-US" w:eastAsia="zh-CN"/>
        </w:rPr>
        <w:t>金华市自然资源和规划技术中心</w:t>
      </w:r>
      <w:r>
        <w:rPr>
          <w:rFonts w:hint="eastAsia" w:ascii="仿宋" w:hAnsi="仿宋" w:eastAsia="仿宋"/>
          <w:color w:val="000000"/>
          <w:sz w:val="32"/>
          <w:highlight w:val="white"/>
          <w:lang w:val="en-US"/>
        </w:rPr>
        <w:t>对2020年度一般公共预算项目支出全面开展绩效自评，其中，一级项目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个，二级项目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个，共涉及资金</w:t>
      </w:r>
      <w:r>
        <w:rPr>
          <w:rFonts w:hint="eastAsia" w:ascii="仿宋" w:hAnsi="仿宋" w:eastAsia="仿宋"/>
          <w:color w:val="000000"/>
          <w:sz w:val="32"/>
          <w:highlight w:val="white"/>
          <w:lang w:val="en-US" w:eastAsia="zh-CN"/>
        </w:rPr>
        <w:t>22</w:t>
      </w:r>
      <w:r>
        <w:rPr>
          <w:rFonts w:hint="eastAsia" w:ascii="仿宋" w:hAnsi="仿宋" w:eastAsia="仿宋"/>
          <w:color w:val="000000"/>
          <w:sz w:val="32"/>
          <w:highlight w:val="white"/>
          <w:lang w:val="en-US"/>
        </w:rPr>
        <w:t>万元，占一般公共预算项目支出总额的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组织对2020年度</w:t>
      </w:r>
      <w:r>
        <w:rPr>
          <w:rFonts w:hint="eastAsia" w:ascii="仿宋" w:hAnsi="仿宋" w:eastAsia="仿宋"/>
          <w:color w:val="000000"/>
          <w:sz w:val="32"/>
          <w:highlight w:val="white"/>
          <w:lang w:val="en-US" w:eastAsia="zh-CN"/>
        </w:rPr>
        <w:t>金华市自然资源和规划技术中心规划地理业务经费1</w:t>
      </w:r>
      <w:r>
        <w:rPr>
          <w:rFonts w:hint="eastAsia" w:ascii="仿宋" w:hAnsi="仿宋" w:eastAsia="仿宋"/>
          <w:color w:val="000000"/>
          <w:sz w:val="32"/>
          <w:highlight w:val="white"/>
          <w:lang w:val="en-US"/>
        </w:rPr>
        <w:t>个项目开展了部门评价共涉及资金</w:t>
      </w:r>
      <w:r>
        <w:rPr>
          <w:rFonts w:hint="eastAsia" w:ascii="仿宋" w:hAnsi="仿宋" w:eastAsia="仿宋"/>
          <w:color w:val="000000"/>
          <w:sz w:val="32"/>
          <w:highlight w:val="white"/>
          <w:lang w:val="en-US" w:eastAsia="zh-CN"/>
        </w:rPr>
        <w:t>22</w:t>
      </w:r>
      <w:r>
        <w:rPr>
          <w:rFonts w:hint="eastAsia" w:ascii="仿宋" w:hAnsi="仿宋" w:eastAsia="仿宋"/>
          <w:color w:val="000000"/>
          <w:sz w:val="32"/>
          <w:highlight w:val="white"/>
          <w:lang w:val="en-US"/>
        </w:rPr>
        <w:t>万元，占政府性基金预算项目支出总额的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r>
        <w:rPr>
          <w:rFonts w:hint="eastAsia" w:ascii="仿宋" w:hAnsi="仿宋" w:eastAsia="仿宋"/>
          <w:color w:val="000000"/>
          <w:sz w:val="32"/>
          <w:highlight w:val="white"/>
          <w:lang w:val="en-US" w:eastAsia="zh-CN"/>
        </w:rPr>
        <w:t>，</w:t>
      </w:r>
      <w:r>
        <w:rPr>
          <w:rFonts w:hint="eastAsia" w:ascii="仿宋" w:hAnsi="仿宋" w:eastAsia="仿宋"/>
          <w:color w:val="000000"/>
          <w:sz w:val="32"/>
          <w:highlight w:val="white"/>
          <w:lang w:val="en-US"/>
        </w:rPr>
        <w:t>本年无政府性基金预算项目。</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本年无部门评价</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本年无部门整体支出绩效评价。</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本年无下属部门或单位整体支出绩效评价</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部门（单位）决算中项目绩效自评结果（至少公开2个项目绩效自评结果，绩效自评表直接附正文中，如本部门（单位）只有一个预算项目，则只公开一个项目自评结果，并备注“本部门（单位）2020年度只有一个预算项目”）。</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金华市自然资源和规划技术中心</w:t>
      </w:r>
      <w:r>
        <w:rPr>
          <w:rFonts w:hint="eastAsia" w:ascii="仿宋" w:hAnsi="仿宋" w:eastAsia="仿宋"/>
          <w:color w:val="000000"/>
          <w:sz w:val="32"/>
          <w:highlight w:val="white"/>
          <w:lang w:val="en-US"/>
        </w:rPr>
        <w:t>在2020年度部门（单位）决算中反映度</w:t>
      </w:r>
      <w:r>
        <w:rPr>
          <w:rFonts w:hint="eastAsia" w:ascii="仿宋" w:hAnsi="仿宋" w:eastAsia="仿宋"/>
          <w:color w:val="000000"/>
          <w:sz w:val="32"/>
          <w:highlight w:val="white"/>
          <w:lang w:val="en-US" w:eastAsia="zh-CN"/>
        </w:rPr>
        <w:t>金华市自然资源和规划技术中心规划地理业务经费1个</w:t>
      </w:r>
      <w:r>
        <w:rPr>
          <w:rFonts w:hint="eastAsia" w:ascii="仿宋" w:hAnsi="仿宋" w:eastAsia="仿宋"/>
          <w:color w:val="000000"/>
          <w:sz w:val="32"/>
          <w:highlight w:val="white"/>
          <w:lang w:val="en-US"/>
        </w:rPr>
        <w:t>项目绩效自评结果。</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规划地理业务经费</w:t>
      </w:r>
      <w:r>
        <w:rPr>
          <w:rFonts w:hint="eastAsia" w:ascii="仿宋" w:hAnsi="仿宋" w:eastAsia="仿宋"/>
          <w:color w:val="000000"/>
          <w:sz w:val="32"/>
          <w:highlight w:val="white"/>
          <w:lang w:val="en-US"/>
        </w:rPr>
        <w:t>项目绩效自评综述：根据年初设定的绩效目标，项目自评得分</w:t>
      </w:r>
      <w:r>
        <w:rPr>
          <w:rFonts w:hint="eastAsia" w:ascii="仿宋" w:hAnsi="仿宋" w:eastAsia="仿宋"/>
          <w:color w:val="000000"/>
          <w:sz w:val="32"/>
          <w:highlight w:val="white"/>
          <w:lang w:val="en-US" w:eastAsia="zh-CN"/>
        </w:rPr>
        <w:t>84.4</w:t>
      </w:r>
      <w:r>
        <w:rPr>
          <w:rFonts w:hint="eastAsia" w:ascii="仿宋" w:hAnsi="仿宋" w:eastAsia="仿宋"/>
          <w:color w:val="000000"/>
          <w:sz w:val="32"/>
          <w:highlight w:val="white"/>
          <w:lang w:val="en-US"/>
        </w:rPr>
        <w:t>分，自评结论为“</w:t>
      </w:r>
      <w:r>
        <w:rPr>
          <w:rFonts w:hint="eastAsia" w:ascii="仿宋" w:hAnsi="仿宋" w:eastAsia="仿宋"/>
          <w:color w:val="000000"/>
          <w:sz w:val="32"/>
          <w:highlight w:val="white"/>
          <w:lang w:val="en-US" w:eastAsia="zh-CN"/>
        </w:rPr>
        <w:t>良</w:t>
      </w:r>
      <w:r>
        <w:rPr>
          <w:rFonts w:hint="eastAsia" w:ascii="仿宋" w:hAnsi="仿宋" w:eastAsia="仿宋"/>
          <w:color w:val="000000"/>
          <w:sz w:val="32"/>
          <w:highlight w:val="white"/>
          <w:lang w:val="en-US"/>
        </w:rPr>
        <w:t>”。项目全年预算数为</w:t>
      </w:r>
      <w:r>
        <w:rPr>
          <w:rFonts w:hint="eastAsia" w:ascii="仿宋" w:hAnsi="仿宋" w:eastAsia="仿宋"/>
          <w:color w:val="000000"/>
          <w:sz w:val="32"/>
          <w:highlight w:val="white"/>
          <w:lang w:val="en-US" w:eastAsia="zh-CN"/>
        </w:rPr>
        <w:t>22</w:t>
      </w:r>
      <w:r>
        <w:rPr>
          <w:rFonts w:hint="eastAsia" w:ascii="仿宋" w:hAnsi="仿宋" w:eastAsia="仿宋"/>
          <w:color w:val="000000"/>
          <w:sz w:val="32"/>
          <w:highlight w:val="white"/>
          <w:lang w:val="en-US"/>
        </w:rPr>
        <w:t>万元，执行数为</w:t>
      </w:r>
      <w:r>
        <w:rPr>
          <w:rFonts w:hint="eastAsia" w:ascii="仿宋" w:hAnsi="仿宋" w:eastAsia="仿宋"/>
          <w:color w:val="000000"/>
          <w:sz w:val="32"/>
          <w:highlight w:val="white"/>
          <w:lang w:val="en-US" w:eastAsia="zh-CN"/>
        </w:rPr>
        <w:t>16.3</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74.3</w:t>
      </w:r>
      <w:r>
        <w:rPr>
          <w:rFonts w:hint="eastAsia" w:ascii="仿宋" w:hAnsi="仿宋" w:eastAsia="仿宋"/>
          <w:color w:val="000000"/>
          <w:sz w:val="32"/>
          <w:highlight w:val="white"/>
          <w:lang w:val="en-US"/>
        </w:rPr>
        <w:t>%。项目绩效目标完成情况：一是</w:t>
      </w:r>
      <w:r>
        <w:rPr>
          <w:rFonts w:hint="eastAsia" w:ascii="仿宋" w:hAnsi="仿宋" w:eastAsia="仿宋"/>
          <w:color w:val="000000"/>
          <w:sz w:val="32"/>
          <w:highlight w:val="white"/>
          <w:lang w:val="en-US" w:eastAsia="zh-CN"/>
        </w:rPr>
        <w:t>产出指标47</w:t>
      </w:r>
      <w:r>
        <w:rPr>
          <w:rFonts w:hint="eastAsia" w:ascii="仿宋" w:hAnsi="仿宋" w:eastAsia="仿宋"/>
          <w:color w:val="000000"/>
          <w:sz w:val="32"/>
          <w:highlight w:val="white"/>
          <w:lang w:val="en-US"/>
        </w:rPr>
        <w:t>；二是</w:t>
      </w:r>
      <w:r>
        <w:rPr>
          <w:rFonts w:hint="eastAsia" w:ascii="仿宋" w:hAnsi="仿宋" w:eastAsia="仿宋"/>
          <w:color w:val="000000"/>
          <w:sz w:val="32"/>
          <w:highlight w:val="white"/>
          <w:lang w:val="en-US" w:eastAsia="zh-CN"/>
        </w:rPr>
        <w:t>效益指标23，三是满意度指标8，四是执行率指标7.43</w:t>
      </w:r>
      <w:r>
        <w:rPr>
          <w:rFonts w:hint="eastAsia" w:ascii="仿宋" w:hAnsi="仿宋" w:eastAsia="仿宋"/>
          <w:color w:val="000000"/>
          <w:sz w:val="32"/>
          <w:highlight w:val="white"/>
          <w:lang w:val="en-US"/>
        </w:rPr>
        <w:t>。发现的问题及原因：</w:t>
      </w:r>
      <w:r>
        <w:rPr>
          <w:rFonts w:hint="eastAsia" w:ascii="仿宋" w:hAnsi="仿宋" w:eastAsia="仿宋"/>
          <w:color w:val="000000"/>
          <w:sz w:val="32"/>
          <w:highlight w:val="white"/>
          <w:lang w:val="en-US" w:eastAsia="zh-CN"/>
        </w:rPr>
        <w:t>因为机构改革单位职能发生变化，所以上年初申请的业务经费未能充分使用</w:t>
      </w:r>
      <w:r>
        <w:rPr>
          <w:rFonts w:hint="eastAsia" w:ascii="仿宋" w:hAnsi="仿宋" w:eastAsia="仿宋"/>
          <w:color w:val="000000"/>
          <w:sz w:val="32"/>
          <w:highlight w:val="white"/>
          <w:lang w:val="en-US"/>
        </w:rPr>
        <w:t>。下一步改进措施：</w:t>
      </w:r>
      <w:r>
        <w:rPr>
          <w:rFonts w:hint="eastAsia" w:ascii="仿宋" w:hAnsi="仿宋" w:eastAsia="仿宋"/>
          <w:color w:val="000000"/>
          <w:sz w:val="32"/>
          <w:highlight w:val="white"/>
          <w:lang w:val="en-US" w:eastAsia="zh-CN"/>
        </w:rPr>
        <w:t>一是努力提高效益指标；二是提高执行率</w:t>
      </w:r>
      <w:r>
        <w:rPr>
          <w:rFonts w:hint="eastAsia" w:ascii="仿宋" w:hAnsi="仿宋" w:eastAsia="仿宋"/>
          <w:color w:val="000000"/>
          <w:sz w:val="32"/>
          <w:highlight w:val="white"/>
          <w:lang w:val="en-US"/>
        </w:rPr>
        <w:t>。</w:t>
      </w:r>
    </w:p>
    <w:p>
      <w:pPr>
        <w:spacing w:beforeLines="0" w:afterLines="0" w:line="324" w:lineRule="auto"/>
        <w:rPr>
          <w:rFonts w:hint="eastAsia" w:ascii="仿宋" w:hAnsi="仿宋" w:eastAsia="仿宋"/>
          <w:color w:val="000000"/>
          <w:sz w:val="32"/>
          <w:highlight w:val="white"/>
          <w:lang w:val="en-US" w:eastAsia="zh-CN"/>
        </w:rPr>
      </w:pPr>
    </w:p>
    <w:p>
      <w:pPr>
        <w:spacing w:beforeLines="0" w:afterLines="0" w:line="324" w:lineRule="auto"/>
        <w:rPr>
          <w:rFonts w:hint="eastAsia" w:ascii="仿宋" w:hAnsi="仿宋" w:eastAsia="仿宋"/>
          <w:color w:val="000000"/>
          <w:sz w:val="32"/>
          <w:highlight w:val="white"/>
          <w:lang w:val="en-US" w:eastAsia="zh-CN"/>
        </w:rPr>
      </w:pPr>
    </w:p>
    <w:p>
      <w:pPr>
        <w:spacing w:beforeLines="0" w:afterLines="0" w:line="324" w:lineRule="auto"/>
        <w:rPr>
          <w:rFonts w:hint="eastAsia" w:ascii="仿宋" w:hAnsi="仿宋" w:eastAsia="仿宋"/>
          <w:color w:val="000000"/>
          <w:sz w:val="32"/>
          <w:highlight w:val="white"/>
          <w:lang w:val="en-US" w:eastAsia="zh-CN"/>
        </w:rPr>
      </w:pPr>
    </w:p>
    <w:p>
      <w:pPr>
        <w:spacing w:beforeLines="0" w:afterLines="0" w:line="324" w:lineRule="auto"/>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附件：绩效自评表</w:t>
      </w:r>
    </w:p>
    <w:p>
      <w:pPr>
        <w:spacing w:beforeLines="0" w:afterLines="0" w:line="324" w:lineRule="auto"/>
        <w:ind w:firstLine="594"/>
        <w:rPr>
          <w:rFonts w:hint="eastAsia" w:ascii="仿宋_GB2312" w:hAnsi="仿宋_GB2312" w:eastAsia="仿宋_GB2312"/>
          <w:color w:val="000000"/>
          <w:sz w:val="32"/>
          <w:highlight w:val="white"/>
          <w:lang w:val="en-US"/>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pPr>
        <w:spacing w:beforeLines="0" w:afterLines="0" w:line="560" w:lineRule="exact"/>
        <w:ind w:firstLine="880" w:firstLineChars="200"/>
        <w:rPr>
          <w:rFonts w:hint="default" w:eastAsia="方正小标宋简体"/>
          <w:kern w:val="0"/>
          <w:sz w:val="44"/>
        </w:rPr>
      </w:pPr>
      <w:r>
        <w:rPr>
          <w:rFonts w:hint="eastAsia" w:eastAsia="方正小标宋简体"/>
          <w:kern w:val="0"/>
          <w:sz w:val="44"/>
        </w:rPr>
        <w:t>金华市本级项目支出绩效自评表</w:t>
      </w:r>
    </w:p>
    <w:p>
      <w:pPr>
        <w:spacing w:beforeLines="0" w:afterLines="0" w:line="560" w:lineRule="exact"/>
        <w:jc w:val="center"/>
        <w:rPr>
          <w:rFonts w:hint="eastAsia" w:ascii="方正小标宋简体" w:hAnsi="方正小标宋简体" w:eastAsia="方正小标宋简体"/>
          <w:kern w:val="0"/>
          <w:sz w:val="40"/>
        </w:rPr>
      </w:pPr>
      <w:r>
        <w:rPr>
          <w:rFonts w:hint="eastAsia" w:ascii="方正小标宋简体" w:hAnsi="方正小标宋简体" w:eastAsia="方正小标宋简体"/>
          <w:kern w:val="0"/>
          <w:sz w:val="40"/>
        </w:rPr>
        <w:t>（2020年度）</w:t>
      </w:r>
    </w:p>
    <w:p>
      <w:pPr>
        <w:spacing w:beforeLines="0" w:afterLines="0" w:line="560" w:lineRule="exact"/>
        <w:jc w:val="center"/>
        <w:rPr>
          <w:rFonts w:hint="default" w:eastAsia="仿宋_GB2312"/>
          <w:kern w:val="0"/>
          <w:sz w:val="24"/>
        </w:rPr>
      </w:pPr>
      <w:r>
        <w:rPr>
          <w:rFonts w:hint="eastAsia" w:eastAsia="仿宋_GB2312"/>
          <w:kern w:val="0"/>
          <w:sz w:val="24"/>
        </w:rPr>
        <w:t>实施单位（盖章）：金华市</w:t>
      </w:r>
      <w:r>
        <w:rPr>
          <w:rFonts w:hint="eastAsia" w:eastAsia="仿宋_GB2312"/>
          <w:kern w:val="0"/>
          <w:sz w:val="24"/>
          <w:lang w:eastAsia="zh-CN"/>
        </w:rPr>
        <w:t>自然资源和规划技术中心</w:t>
      </w:r>
    </w:p>
    <w:tbl>
      <w:tblPr>
        <w:tblStyle w:val="5"/>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006"/>
        <w:gridCol w:w="821"/>
        <w:gridCol w:w="200"/>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lang w:val="en-US" w:eastAsia="zh-CN"/>
              </w:rPr>
            </w:pPr>
            <w:r>
              <w:rPr>
                <w:rFonts w:hint="eastAsia" w:eastAsia="仿宋_GB2312"/>
                <w:kern w:val="0"/>
                <w:sz w:val="24"/>
                <w:lang w:val="en-US" w:eastAsia="zh-CN"/>
              </w:rPr>
              <w:t>规划地理业务经费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eastAsia" w:eastAsia="仿宋_GB2312"/>
                <w:kern w:val="0"/>
                <w:sz w:val="24"/>
                <w:lang w:eastAsia="zh-CN"/>
              </w:rPr>
            </w:pPr>
            <w:r>
              <w:rPr>
                <w:rFonts w:hint="eastAsia" w:eastAsia="仿宋_GB2312"/>
                <w:kern w:val="0"/>
                <w:sz w:val="24"/>
              </w:rPr>
              <w:t>金华市</w:t>
            </w:r>
            <w:r>
              <w:rPr>
                <w:rFonts w:hint="eastAsia" w:eastAsia="仿宋_GB2312"/>
                <w:kern w:val="0"/>
                <w:sz w:val="24"/>
                <w:lang w:eastAsia="zh-CN"/>
              </w:rPr>
              <w:t>自然资源和规划技术中心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2020.01.01-2020.12.31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left"/>
              <w:rPr>
                <w:rFonts w:hint="default" w:eastAsia="仿宋_GB2312"/>
                <w:sz w:val="24"/>
              </w:rPr>
            </w:pPr>
            <w:r>
              <w:rPr>
                <w:rFonts w:hint="eastAsia" w:eastAsia="仿宋_GB2312"/>
                <w:sz w:val="24"/>
              </w:rPr>
              <w:t>年度资金总额</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sz w:val="24"/>
                <w:lang w:val="en-US" w:eastAsia="zh-CN"/>
              </w:rPr>
            </w:pPr>
            <w:r>
              <w:rPr>
                <w:rFonts w:hint="eastAsia" w:eastAsia="仿宋_GB2312"/>
                <w:sz w:val="24"/>
                <w:lang w:val="en-US" w:eastAsia="zh-CN"/>
              </w:rPr>
              <w:t>22</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sz w:val="24"/>
                <w:lang w:val="en-US" w:eastAsia="zh-CN"/>
              </w:rPr>
            </w:pPr>
            <w:r>
              <w:rPr>
                <w:rFonts w:hint="eastAsia" w:eastAsia="仿宋_GB2312"/>
                <w:sz w:val="24"/>
                <w:lang w:val="en-US" w:eastAsia="zh-CN"/>
              </w:rPr>
              <w:t>22</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lang w:val="en-US" w:eastAsia="zh-CN"/>
              </w:rPr>
            </w:pPr>
            <w:r>
              <w:rPr>
                <w:rFonts w:hint="eastAsia" w:eastAsia="仿宋_GB2312"/>
                <w:kern w:val="0"/>
                <w:sz w:val="24"/>
                <w:lang w:val="en-US" w:eastAsia="zh-CN"/>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ind w:firstLine="240" w:firstLineChars="100"/>
              <w:rPr>
                <w:rFonts w:hint="default" w:eastAsia="仿宋_GB2312"/>
                <w:kern w:val="0"/>
                <w:sz w:val="24"/>
              </w:rPr>
            </w:pPr>
            <w:r>
              <w:rPr>
                <w:rFonts w:hint="eastAsia" w:eastAsia="仿宋_GB2312"/>
                <w:kern w:val="0"/>
                <w:sz w:val="24"/>
              </w:rPr>
              <w:t>其中：市本级</w:t>
            </w:r>
          </w:p>
          <w:p>
            <w:pPr>
              <w:spacing w:beforeLines="0" w:afterLines="0" w:line="240" w:lineRule="exact"/>
              <w:jc w:val="right"/>
              <w:rPr>
                <w:rFonts w:hint="default" w:eastAsia="仿宋_GB2312"/>
                <w:kern w:val="0"/>
                <w:sz w:val="24"/>
              </w:rPr>
            </w:pPr>
            <w:r>
              <w:rPr>
                <w:rFonts w:hint="eastAsia" w:eastAsia="仿宋_GB2312"/>
                <w:kern w:val="0"/>
                <w:sz w:val="24"/>
              </w:rPr>
              <w:t>安排资金</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nil"/>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4612"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ascii="仿宋_GB2312" w:eastAsia="仿宋_GB2312"/>
                <w:sz w:val="24"/>
                <w:lang w:eastAsia="zh-CN"/>
              </w:rPr>
              <w:t>为了保障单位各项工作的顺利开展，较好的完成全年工作任务和目标。</w:t>
            </w:r>
            <w:r>
              <w:rPr>
                <w:rFonts w:hint="eastAsia" w:ascii="仿宋_GB2312" w:eastAsia="仿宋_GB2312"/>
                <w:sz w:val="24"/>
              </w:rPr>
              <w:t>劳务费按主管部门同意的单位制定的管理制度执行，委托业费根据双方签订的委托合同执行。按计划全面完成全年的</w:t>
            </w:r>
            <w:r>
              <w:rPr>
                <w:rFonts w:hint="eastAsia" w:ascii="仿宋_GB2312" w:eastAsia="仿宋_GB2312"/>
                <w:sz w:val="24"/>
                <w:lang w:val="en-US"/>
              </w:rPr>
              <w:t>测绘</w:t>
            </w:r>
            <w:r>
              <w:rPr>
                <w:rFonts w:hint="eastAsia" w:ascii="仿宋_GB2312" w:eastAsia="仿宋_GB2312"/>
                <w:sz w:val="24"/>
              </w:rPr>
              <w:t>任务和目标。</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ascii="仿宋_GB2312" w:eastAsia="仿宋_GB2312"/>
                <w:sz w:val="24"/>
              </w:rPr>
              <w:t>按计划完成了年初计划和增加预算的劳务费及业务委托费，保障了</w:t>
            </w:r>
            <w:r>
              <w:rPr>
                <w:rFonts w:hint="eastAsia" w:ascii="仿宋_GB2312" w:eastAsia="仿宋_GB2312"/>
                <w:sz w:val="24"/>
                <w:lang w:eastAsia="zh-CN"/>
              </w:rPr>
              <w:t>技术中心</w:t>
            </w:r>
            <w:r>
              <w:rPr>
                <w:rFonts w:hint="eastAsia" w:ascii="仿宋_GB2312" w:eastAsia="仿宋_GB2312"/>
                <w:sz w:val="24"/>
              </w:rPr>
              <w:t>工作的顺利开展。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绩 效 指 标</w:t>
            </w:r>
          </w:p>
        </w:tc>
        <w:tc>
          <w:tcPr>
            <w:tcW w:w="122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年度指标值</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实际完成值</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权重</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r>
              <w:rPr>
                <w:rFonts w:hint="eastAsia" w:eastAsia="仿宋_GB2312"/>
                <w:kern w:val="0"/>
                <w:sz w:val="20"/>
              </w:rPr>
              <w:t>偏差原因分析及改进措施</w:t>
            </w:r>
            <w:r>
              <w:rPr>
                <w:rFonts w:hint="eastAsia"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产出指标（50分）</w:t>
            </w: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数量指标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eastAsia="zh-CN"/>
              </w:rPr>
              <w:t>租用办公用房面积</w:t>
            </w:r>
            <w:r>
              <w:rPr>
                <w:rFonts w:hint="eastAsia"/>
                <w:kern w:val="0"/>
                <w:sz w:val="21"/>
                <w:lang w:val="en-US" w:eastAsia="zh-CN"/>
              </w:rPr>
              <w:t>227平方</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lang w:eastAsia="zh-CN"/>
              </w:rPr>
              <w:t>租用办公用房面积</w:t>
            </w:r>
            <w:r>
              <w:rPr>
                <w:rFonts w:hint="eastAsia"/>
                <w:kern w:val="0"/>
                <w:sz w:val="21"/>
                <w:lang w:val="en-US" w:eastAsia="zh-CN"/>
              </w:rPr>
              <w:t>227平方</w:t>
            </w:r>
            <w:r>
              <w:rPr>
                <w:rFonts w:hint="eastAsia"/>
                <w:kern w:val="0"/>
                <w:sz w:val="21"/>
              </w:rPr>
              <w:t>65%以上</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20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20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质量指标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val="en-US" w:eastAsia="zh-CN"/>
              </w:rPr>
              <w:t>1.</w:t>
            </w:r>
            <w:r>
              <w:rPr>
                <w:rFonts w:hint="eastAsia"/>
                <w:kern w:val="0"/>
                <w:sz w:val="21"/>
                <w:lang w:eastAsia="zh-CN"/>
              </w:rPr>
              <w:t>年度工作任务完成</w:t>
            </w:r>
            <w:r>
              <w:rPr>
                <w:rFonts w:hint="eastAsia"/>
                <w:kern w:val="0"/>
                <w:sz w:val="21"/>
                <w:lang w:val="en-US" w:eastAsia="zh-CN"/>
              </w:rPr>
              <w:t>100%2.工作目标完成达标率95%</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lang w:val="en-US" w:eastAsia="zh-CN"/>
              </w:rPr>
              <w:t>1.</w:t>
            </w:r>
            <w:r>
              <w:rPr>
                <w:rFonts w:hint="eastAsia"/>
                <w:kern w:val="0"/>
                <w:sz w:val="21"/>
                <w:lang w:eastAsia="zh-CN"/>
              </w:rPr>
              <w:t>年度工作任务完成</w:t>
            </w:r>
            <w:r>
              <w:rPr>
                <w:rFonts w:hint="eastAsia"/>
                <w:kern w:val="0"/>
                <w:sz w:val="21"/>
                <w:lang w:val="en-US" w:eastAsia="zh-CN"/>
              </w:rPr>
              <w:t>100%2.工作目标完成达标率95%</w:t>
            </w:r>
            <w:r>
              <w:rPr>
                <w:rFonts w:hint="eastAsia"/>
                <w:kern w:val="0"/>
                <w:sz w:val="21"/>
              </w:rPr>
              <w:t>65%以上</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时效指标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val="en-US" w:eastAsia="zh-CN"/>
              </w:rPr>
              <w:t>项目进度完成率91%</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lang w:val="en-US" w:eastAsia="zh-CN"/>
              </w:rPr>
              <w:t>项目进度完成率91%</w:t>
            </w:r>
            <w:r>
              <w:rPr>
                <w:rFonts w:hint="eastAsia"/>
                <w:kern w:val="0"/>
                <w:sz w:val="21"/>
              </w:rPr>
              <w:t>2020年底完成</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eastAsia"/>
                <w:kern w:val="0"/>
                <w:sz w:val="21"/>
                <w:lang w:eastAsia="zh-CN"/>
              </w:rPr>
            </w:pPr>
            <w:r>
              <w:rPr>
                <w:rFonts w:hint="default"/>
                <w:kern w:val="0"/>
                <w:sz w:val="21"/>
                <w:lang w:val="en-US"/>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成本指标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eastAsia="zh-CN"/>
              </w:rPr>
              <w:t>人均办公用房面积</w:t>
            </w:r>
            <w:r>
              <w:rPr>
                <w:rFonts w:hint="eastAsia"/>
                <w:kern w:val="0"/>
                <w:sz w:val="21"/>
                <w:lang w:val="en-US" w:eastAsia="zh-CN"/>
              </w:rPr>
              <w:t>6平方米</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不超预算</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7</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效益指标（30分）</w:t>
            </w: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经济效益指标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eastAsia"/>
                <w:kern w:val="0"/>
                <w:sz w:val="21"/>
                <w:lang w:eastAsia="zh-CN"/>
              </w:rPr>
            </w:pPr>
            <w:r>
              <w:rPr>
                <w:rFonts w:hint="eastAsia"/>
                <w:kern w:val="0"/>
                <w:sz w:val="21"/>
                <w:lang w:eastAsia="zh-CN"/>
              </w:rPr>
              <w:t>项目本身不产生直接经济效益，但是是全年全单位各项工作开展的基础，因此可以间接产生经济效益</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保障基础数据</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eastAsia"/>
                <w:kern w:val="0"/>
                <w:sz w:val="21"/>
                <w:lang w:eastAsia="zh-CN"/>
              </w:rPr>
            </w:pPr>
            <w:r>
              <w:rPr>
                <w:rFonts w:hint="eastAsia"/>
                <w:kern w:val="0"/>
                <w:sz w:val="21"/>
                <w:lang w:val="en-US" w:eastAsia="zh-CN"/>
              </w:rPr>
              <w:t>6</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社会效益指标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val="en-US" w:eastAsia="zh-CN"/>
              </w:rPr>
              <w:t>1.</w:t>
            </w:r>
            <w:r>
              <w:rPr>
                <w:rFonts w:hint="eastAsia"/>
                <w:kern w:val="0"/>
                <w:sz w:val="21"/>
                <w:lang w:eastAsia="zh-CN"/>
              </w:rPr>
              <w:t>促进城市信息化的进程和区域经济的协调发展</w:t>
            </w:r>
            <w:r>
              <w:rPr>
                <w:rFonts w:hint="eastAsia"/>
                <w:kern w:val="0"/>
                <w:sz w:val="21"/>
                <w:lang w:val="en-US" w:eastAsia="zh-CN"/>
              </w:rPr>
              <w:t>2.促进区域社会经济发展效益</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保障社会服务</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eastAsia"/>
                <w:kern w:val="0"/>
                <w:sz w:val="21"/>
                <w:lang w:eastAsia="zh-CN"/>
              </w:rPr>
            </w:pPr>
            <w:r>
              <w:rPr>
                <w:rFonts w:hint="eastAsia"/>
                <w:kern w:val="0"/>
                <w:sz w:val="21"/>
                <w:lang w:val="en-US" w:eastAsia="zh-CN"/>
              </w:rPr>
              <w:t>7</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生态效益指标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eastAsia="zh-CN"/>
              </w:rPr>
              <w:t>单位工作任务完成后能减少重复投入至少</w:t>
            </w:r>
            <w:r>
              <w:rPr>
                <w:rFonts w:hint="eastAsia"/>
                <w:kern w:val="0"/>
                <w:sz w:val="21"/>
                <w:lang w:val="en-US" w:eastAsia="zh-CN"/>
              </w:rPr>
              <w:t>30万元以上</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不影响生态</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p>
        </w:tc>
        <w:tc>
          <w:tcPr>
            <w:tcW w:w="1116" w:type="dxa"/>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可持续效益指标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eastAsia="zh-CN"/>
              </w:rPr>
              <w:t>单位工作目标达标以后能使国有企业线单位节约投入</w:t>
            </w:r>
            <w:r>
              <w:rPr>
                <w:rFonts w:hint="eastAsia"/>
                <w:kern w:val="0"/>
                <w:sz w:val="21"/>
                <w:lang w:val="en-US" w:eastAsia="zh-CN"/>
              </w:rPr>
              <w:t>100万元以上</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可持续</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满意度指标（10分）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服务对象满意程度指标</w:t>
            </w:r>
          </w:p>
        </w:tc>
        <w:tc>
          <w:tcPr>
            <w:tcW w:w="1173" w:type="dxa"/>
            <w:gridSpan w:val="2"/>
            <w:tcBorders>
              <w:top w:val="single" w:color="000000" w:sz="4" w:space="0"/>
              <w:left w:val="single" w:color="auto"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lang w:val="en-US" w:eastAsia="zh-CN"/>
              </w:rPr>
            </w:pPr>
            <w:r>
              <w:rPr>
                <w:rFonts w:hint="eastAsia"/>
                <w:kern w:val="0"/>
                <w:sz w:val="21"/>
                <w:lang w:eastAsia="zh-CN"/>
              </w:rPr>
              <w:t>主管部门满意度</w:t>
            </w:r>
            <w:r>
              <w:rPr>
                <w:rFonts w:hint="eastAsia"/>
                <w:kern w:val="0"/>
                <w:sz w:val="21"/>
                <w:lang w:val="en-US" w:eastAsia="zh-CN"/>
              </w:rPr>
              <w:t>95%</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95%以上</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spacing w:beforeLines="0" w:afterLines="0" w:line="240" w:lineRule="exact"/>
              <w:jc w:val="left"/>
              <w:rPr>
                <w:rFonts w:hint="eastAsia"/>
                <w:kern w:val="0"/>
                <w:sz w:val="21"/>
                <w:lang w:eastAsia="zh-CN"/>
              </w:rPr>
            </w:pPr>
            <w:r>
              <w:rPr>
                <w:rFonts w:hint="default"/>
                <w:kern w:val="0"/>
                <w:sz w:val="21"/>
              </w:rPr>
              <w:tab/>
            </w:r>
            <w:r>
              <w:rPr>
                <w:rFonts w:hint="eastAsia"/>
                <w:kern w:val="0"/>
                <w:sz w:val="21"/>
                <w:lang w:val="en-US" w:eastAsia="zh-CN"/>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tcBorders>
              <w:top w:val="nil"/>
              <w:left w:val="single" w:color="000000" w:sz="4" w:space="0"/>
              <w:bottom w:val="nil"/>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1"/>
              </w:rPr>
              <w:t>执行率指标（10分）</w:t>
            </w:r>
          </w:p>
        </w:tc>
        <w:tc>
          <w:tcPr>
            <w:tcW w:w="4398"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line="240" w:lineRule="exact"/>
              <w:rPr>
                <w:rFonts w:hint="default" w:eastAsia="仿宋_GB2312"/>
                <w:kern w:val="0"/>
                <w:sz w:val="21"/>
              </w:rPr>
            </w:pPr>
            <w:r>
              <w:rPr>
                <w:rFonts w:hint="eastAsia" w:eastAsia="仿宋_GB2312"/>
                <w:kern w:val="0"/>
                <w:sz w:val="21"/>
              </w:rPr>
              <w:t>资金执行率：</w:t>
            </w:r>
          </w:p>
          <w:p>
            <w:pPr>
              <w:spacing w:beforeLines="0" w:afterLines="0" w:line="240" w:lineRule="exact"/>
              <w:jc w:val="center"/>
              <w:rPr>
                <w:rFonts w:hint="default"/>
                <w:kern w:val="0"/>
                <w:sz w:val="21"/>
              </w:rPr>
            </w:pPr>
            <w:r>
              <w:rPr>
                <w:rFonts w:hint="eastAsia" w:eastAsia="仿宋_GB2312"/>
                <w:kern w:val="0"/>
                <w:sz w:val="21"/>
              </w:rPr>
              <w:t>（计算方式：执行率自评得分</w:t>
            </w:r>
            <w:r>
              <w:rPr>
                <w:rFonts w:hint="default" w:eastAsia="仿宋_GB2312"/>
                <w:kern w:val="0"/>
                <w:sz w:val="22"/>
              </w:rPr>
              <w:t>=</w:t>
            </w:r>
            <w:r>
              <w:rPr>
                <w:rFonts w:hint="eastAsia" w:eastAsia="仿宋_GB2312"/>
                <w:kern w:val="0"/>
                <w:sz w:val="21"/>
              </w:rPr>
              <w:t>资金执行率</w:t>
            </w:r>
            <w:r>
              <w:rPr>
                <w:rFonts w:hint="default" w:eastAsia="仿宋_GB2312"/>
                <w:kern w:val="0"/>
                <w:sz w:val="22"/>
              </w:rPr>
              <w:t>*</w:t>
            </w:r>
            <w:r>
              <w:rPr>
                <w:rFonts w:hint="default" w:eastAsia="仿宋_GB2312"/>
                <w:kern w:val="0"/>
                <w:sz w:val="21"/>
              </w:rPr>
              <w:t>10</w:t>
            </w:r>
            <w:r>
              <w:rPr>
                <w:rFonts w:hint="eastAsia" w:eastAsia="仿宋_GB2312"/>
                <w:kern w:val="0"/>
                <w:sz w:val="21"/>
              </w:rPr>
              <w:t>）</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357"/>
              </w:tabs>
              <w:spacing w:beforeLines="0" w:afterLines="0" w:line="240" w:lineRule="exact"/>
              <w:jc w:val="left"/>
              <w:rPr>
                <w:rFonts w:hint="default"/>
                <w:kern w:val="0"/>
                <w:sz w:val="21"/>
                <w:lang w:val="en-US" w:eastAsia="zh-CN"/>
              </w:rPr>
            </w:pPr>
            <w:r>
              <w:rPr>
                <w:rFonts w:hint="eastAsia"/>
                <w:kern w:val="0"/>
                <w:sz w:val="21"/>
                <w:lang w:val="en-US" w:eastAsia="zh-CN"/>
              </w:rPr>
              <w:t>7.43</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ascii="宋体" w:hAnsi="宋体"/>
                <w:kern w:val="0"/>
                <w:sz w:val="21"/>
                <w:lang w:eastAsia="zh-CN"/>
              </w:rPr>
              <w:t>因为机构改革单位职能发生变化，所以上年初申请的业务经费未能充分使用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spacing w:beforeLines="0" w:afterLines="0" w:line="240" w:lineRule="exact"/>
              <w:jc w:val="center"/>
              <w:rPr>
                <w:rFonts w:hint="default" w:eastAsia="仿宋_GB2312"/>
                <w:kern w:val="0"/>
                <w:sz w:val="24"/>
              </w:rPr>
            </w:pPr>
          </w:p>
        </w:tc>
        <w:tc>
          <w:tcPr>
            <w:tcW w:w="5618"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kern w:val="0"/>
                <w:sz w:val="21"/>
              </w:rPr>
              <w:t>总分</w:t>
            </w:r>
          </w:p>
        </w:tc>
        <w:tc>
          <w:tcPr>
            <w:tcW w:w="821" w:type="dxa"/>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default"/>
                <w:kern w:val="0"/>
                <w:sz w:val="21"/>
              </w:rPr>
              <w:t>100</w:t>
            </w:r>
          </w:p>
        </w:tc>
        <w:tc>
          <w:tcPr>
            <w:tcW w:w="685"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357"/>
              </w:tabs>
              <w:spacing w:beforeLines="0" w:afterLines="0" w:line="240" w:lineRule="exact"/>
              <w:jc w:val="left"/>
              <w:rPr>
                <w:rFonts w:hint="default"/>
                <w:kern w:val="0"/>
                <w:sz w:val="21"/>
              </w:rPr>
            </w:pPr>
            <w:r>
              <w:rPr>
                <w:rFonts w:hint="eastAsia"/>
                <w:kern w:val="0"/>
                <w:sz w:val="21"/>
                <w:lang w:val="en-US" w:eastAsia="zh-CN"/>
              </w:rPr>
              <w:t>84.43</w:t>
            </w:r>
          </w:p>
        </w:tc>
        <w:tc>
          <w:tcPr>
            <w:tcW w:w="1808" w:type="dxa"/>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default" w:eastAsia="仿宋_GB2312"/>
                <w:kern w:val="0"/>
                <w:sz w:val="21"/>
              </w:rPr>
            </w:pPr>
            <w:r>
              <w:rPr>
                <w:rFonts w:hint="eastAsia" w:eastAsia="仿宋_GB2312"/>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line="240" w:lineRule="exact"/>
              <w:jc w:val="center"/>
              <w:rPr>
                <w:rFonts w:hint="default"/>
                <w:kern w:val="0"/>
                <w:sz w:val="21"/>
              </w:rPr>
            </w:pPr>
            <w:r>
              <w:rPr>
                <w:rFonts w:hint="eastAsia" w:eastAsia="仿宋_GB2312"/>
                <w:sz w:val="24"/>
              </w:rPr>
              <w:t>优：90分≤得分≤100分；良：80分≤得分&lt;90分；中：60分≤得分&lt;80分；差：得分&lt;60分</w:t>
            </w:r>
          </w:p>
        </w:tc>
        <w:tc>
          <w:tcPr>
            <w:tcW w:w="685"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357"/>
              </w:tabs>
              <w:spacing w:beforeLines="0" w:afterLines="0" w:line="240" w:lineRule="exact"/>
              <w:jc w:val="left"/>
              <w:rPr>
                <w:rFonts w:hint="default"/>
                <w:kern w:val="0"/>
                <w:sz w:val="21"/>
              </w:rPr>
            </w:pPr>
            <w:r>
              <w:rPr>
                <w:rFonts w:hint="eastAsia"/>
                <w:kern w:val="0"/>
                <w:sz w:val="21"/>
              </w:rPr>
              <w:t>良</w:t>
            </w:r>
          </w:p>
        </w:tc>
        <w:tc>
          <w:tcPr>
            <w:tcW w:w="1808" w:type="dxa"/>
            <w:tcBorders>
              <w:top w:val="single" w:color="auto" w:sz="4" w:space="0"/>
              <w:left w:val="single" w:color="000000" w:sz="4" w:space="0"/>
              <w:bottom w:val="single" w:color="auto" w:sz="4" w:space="0"/>
              <w:right w:val="single" w:color="auto" w:sz="4" w:space="0"/>
              <w:tl2br w:val="nil"/>
              <w:tr2bl w:val="nil"/>
            </w:tcBorders>
            <w:vAlign w:val="center"/>
          </w:tcPr>
          <w:p>
            <w:pPr>
              <w:spacing w:beforeLines="0" w:afterLines="0" w:line="240" w:lineRule="exact"/>
              <w:jc w:val="center"/>
              <w:rPr>
                <w:rFonts w:hint="default"/>
                <w:kern w:val="0"/>
                <w:sz w:val="21"/>
              </w:rPr>
            </w:pPr>
            <w:r>
              <w:rPr>
                <w:rFonts w:hint="default"/>
                <w:kern w:val="0"/>
                <w:sz w:val="24"/>
              </w:rPr>
              <w:t>-</w:t>
            </w:r>
          </w:p>
        </w:tc>
      </w:tr>
    </w:tbl>
    <w:p>
      <w:pPr>
        <w:spacing w:beforeLines="0" w:afterLines="0" w:line="324" w:lineRule="auto"/>
        <w:ind w:firstLine="594"/>
        <w:rPr>
          <w:rFonts w:hint="eastAsia" w:ascii="仿宋" w:hAnsi="仿宋" w:eastAsia="仿宋"/>
          <w:color w:val="000000"/>
          <w:sz w:val="32"/>
          <w:highlight w:val="white"/>
          <w:lang w:val="en-US"/>
        </w:rPr>
      </w:pPr>
    </w:p>
    <w:p>
      <w:pPr>
        <w:spacing w:beforeLines="0" w:afterLines="0" w:line="324" w:lineRule="auto"/>
        <w:ind w:firstLine="594"/>
        <w:rPr>
          <w:rFonts w:hint="eastAsia" w:ascii="仿宋" w:hAnsi="仿宋" w:eastAsia="仿宋"/>
          <w:b/>
          <w:color w:val="000000"/>
          <w:sz w:val="32"/>
          <w:highlight w:val="white"/>
          <w:lang w:val="en-US"/>
        </w:rPr>
      </w:pP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3.财政评价项目绩效评价结果无。</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4.部门评价项目绩效评价结果无。</w:t>
      </w:r>
    </w:p>
    <w:p>
      <w:pPr>
        <w:spacing w:beforeLines="0" w:afterLines="0" w:line="324" w:lineRule="auto"/>
        <w:ind w:firstLine="594"/>
        <w:rPr>
          <w:rFonts w:hint="default" w:eastAsia="Times New Roman"/>
          <w:color w:val="000000"/>
          <w:sz w:val="32"/>
          <w:highlight w:val="white"/>
          <w:lang w:val="en-US"/>
        </w:rPr>
      </w:pPr>
      <w:r>
        <w:rPr>
          <w:rFonts w:hint="eastAsia" w:ascii="仿宋" w:hAnsi="仿宋" w:eastAsia="仿宋"/>
          <w:color w:val="000000"/>
          <w:sz w:val="32"/>
          <w:highlight w:val="white"/>
          <w:lang w:val="en-US"/>
        </w:rPr>
        <w:t>说明：</w:t>
      </w:r>
      <w:r>
        <w:rPr>
          <w:rFonts w:hint="eastAsia" w:ascii="仿宋" w:hAnsi="仿宋" w:eastAsia="仿宋"/>
          <w:b/>
          <w:color w:val="000000"/>
          <w:sz w:val="32"/>
          <w:highlight w:val="white"/>
          <w:lang w:val="en-US"/>
        </w:rPr>
        <w:t>部门评价项目</w:t>
      </w:r>
      <w:r>
        <w:rPr>
          <w:rFonts w:hint="eastAsia" w:ascii="仿宋" w:hAnsi="仿宋" w:eastAsia="仿宋"/>
          <w:color w:val="000000"/>
          <w:sz w:val="32"/>
          <w:highlight w:val="white"/>
          <w:lang w:val="en-US"/>
        </w:rPr>
        <w:t>是指本部门自行开展的评价对象为本部门政策、项目、整体支出或下属单位整体支出的绩效评价；</w:t>
      </w:r>
      <w:r>
        <w:rPr>
          <w:rFonts w:hint="eastAsia" w:ascii="仿宋" w:hAnsi="仿宋" w:eastAsia="仿宋"/>
          <w:b/>
          <w:color w:val="000000"/>
          <w:sz w:val="32"/>
          <w:highlight w:val="white"/>
          <w:lang w:val="en-US"/>
        </w:rPr>
        <w:t>财政评价项目</w:t>
      </w:r>
      <w:r>
        <w:rPr>
          <w:rFonts w:hint="eastAsia" w:ascii="仿宋" w:hAnsi="仿宋" w:eastAsia="仿宋"/>
          <w:color w:val="000000"/>
          <w:sz w:val="32"/>
          <w:highlight w:val="white"/>
          <w:lang w:val="en-US"/>
        </w:rPr>
        <w:t>是指以由财政部门开展的评价对象为本部门政策、项目或整体支出的绩效评价项目。</w:t>
      </w:r>
    </w:p>
    <w:p>
      <w:pPr>
        <w:spacing w:beforeLines="0" w:afterLines="0" w:line="324" w:lineRule="auto"/>
        <w:rPr>
          <w:rFonts w:hint="eastAsia" w:ascii="仿宋" w:hAnsi="仿宋" w:eastAsia="仿宋"/>
          <w:color w:val="000000"/>
          <w:sz w:val="32"/>
          <w:highlight w:val="white"/>
          <w:lang w:val="en-US" w:eastAsia="zh-CN"/>
        </w:rPr>
      </w:pPr>
    </w:p>
    <w:p>
      <w:pPr>
        <w:spacing w:beforeLines="0" w:afterLines="0"/>
        <w:rPr>
          <w:rFonts w:hint="default"/>
          <w:sz w:val="21"/>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eastAsia" w:ascii="黑体" w:hAnsi="黑体" w:eastAsia="黑体"/>
          <w:b/>
          <w:color w:val="000000"/>
          <w:sz w:val="32"/>
          <w:highlight w:val="white"/>
          <w:lang w:val="en-US"/>
        </w:rPr>
      </w:pPr>
    </w:p>
    <w:p>
      <w:pPr>
        <w:spacing w:beforeLines="0" w:afterLines="0" w:line="324" w:lineRule="auto"/>
        <w:ind w:firstLine="640" w:firstLineChars="200"/>
        <w:rPr>
          <w:rFonts w:hint="default" w:eastAsia="Times New Roman"/>
          <w:b/>
          <w:color w:val="000000"/>
          <w:sz w:val="32"/>
          <w:highlight w:val="white"/>
          <w:lang w:val="en-US"/>
        </w:rPr>
      </w:pPr>
      <w:r>
        <w:rPr>
          <w:rFonts w:hint="eastAsia" w:ascii="黑体" w:hAnsi="黑体" w:eastAsia="黑体"/>
          <w:b/>
          <w:color w:val="000000"/>
          <w:sz w:val="32"/>
          <w:highlight w:val="white"/>
          <w:lang w:val="en-US"/>
        </w:rPr>
        <w:t>四、名词解释</w:t>
      </w:r>
    </w:p>
    <w:p>
      <w:pPr>
        <w:spacing w:beforeLines="0" w:afterLines="0"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zh-CN"/>
        </w:rPr>
        <w:t>2.事业收入：指事业单位开展专业业务活动及辅助活动所取得的收入。</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3.经营收入：指事业单位在专业业务活动及辅助活动之外开展非独立核算经营活动取得的收入。</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4.上级补助收入：指事业单位从主管部门和上级单位取得的非财政补助收入。</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5.附属单位上缴收入：指事业单位附属独立核算单位按照有关规定上缴的收入。</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6.其他收入：指预算单位在“财政拨款”、“事业收入”、“经营收入”、“上级补助收入”、“附属单位上缴收入”等之外取得的各项收入。</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7.使用非财政拨款结余：指事业单位使用以前年度积累的非财政拨款结余弥补当年收支差额的金额。</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8.年初结转和结余：指预算单位以前年度尚未完成、结转到本年仍按原规定用途继续使用的资金。</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9.年末结转和结余：指单位按有关规定结转到下年或以后年度继续使用的资金。</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10.基本支出：指预算单位为保障其正常运转，完成日常工作任务所发生的支出，包括人员经费支出和日常公用经费支出。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11.项目支出：指预算单位为完成其特定的行政工作任务或事业发展目标所发生的支出。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12.上缴上级支出：填列事业单位按照财政部门和主管部门的规定上缴上级单位的支出。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13.经营支出：指事业单位在专业业务活动及其辅助活动之外开展非独立核算经营活动发生的支出。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14.附属单位补助支出：填列事业单位用财政补助收入之外的收入对附属单位补助发生的支出。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17.教育支出(类）其他教育支出（款）其他教育支出（项）：反映上述项目以外其他用于教育方面的支出。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18.社会保障和就业支出（类）行政事业单位离退休（款）未归口管理的行政单位离退休（项）：指未实行归口单位(包括实行公务员管理的事业单位）开支的离退休支出。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19.社会保障和就业支出（类）行政事业单位离退休（款）机关事业单位基本养老保险缴费支出（项）指机关事业养老保险制度由单位缴纳的基本养老保险费支出。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20.社会保障和就业支出（类）行政事业单位离退休（款）机关事业单位职业年金缴费支出（项）机关事业养老保险制度由单位实际缴纳的职业年金支出。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2</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.社会保障和就业支出（类)其他社会保障和就业支出（款）其他社会保障和就业支出（项）反映除上述项目以外其他用于社会保障和就业方面的支出。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2</w:t>
      </w:r>
      <w:r>
        <w:rPr>
          <w:rFonts w:hint="eastAsia" w:ascii="仿宋" w:hAnsi="仿宋" w:eastAsia="仿宋"/>
          <w:color w:val="000000"/>
          <w:sz w:val="32"/>
          <w:highlight w:val="white"/>
          <w:lang w:val="en-US" w:eastAsia="zh-CN"/>
        </w:rPr>
        <w:t xml:space="preserve">2 </w:t>
      </w:r>
      <w:r>
        <w:rPr>
          <w:rFonts w:hint="eastAsia" w:ascii="仿宋" w:hAnsi="仿宋" w:eastAsia="仿宋"/>
          <w:color w:val="000000"/>
          <w:sz w:val="32"/>
          <w:highlight w:val="white"/>
          <w:lang w:val="en-US"/>
        </w:rPr>
        <w:t>.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2</w:t>
      </w:r>
      <w:r>
        <w:rPr>
          <w:rFonts w:hint="eastAsia" w:ascii="仿宋" w:hAnsi="仿宋" w:eastAsia="仿宋"/>
          <w:color w:val="000000"/>
          <w:sz w:val="32"/>
          <w:highlight w:val="white"/>
          <w:lang w:val="en-US" w:eastAsia="zh-CN"/>
        </w:rPr>
        <w:t>3</w:t>
      </w:r>
      <w:r>
        <w:rPr>
          <w:rFonts w:hint="eastAsia" w:ascii="仿宋" w:hAnsi="仿宋" w:eastAsia="仿宋"/>
          <w:color w:val="000000"/>
          <w:sz w:val="32"/>
          <w:highlight w:val="white"/>
          <w:lang w:val="en-US"/>
        </w:rPr>
        <w:t>.卫生健康支出（类）行政事业单位医疗（款）事业单位医疗（项）反映财政部门安排的事业单位基本医疗保险缴费经费，未参加医疗保险的行政单位的公费医疗经费，按国家规定享受离休人员待遇医疗经费。</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w:t>
      </w:r>
      <w:r>
        <w:rPr>
          <w:rFonts w:hint="eastAsia" w:ascii="仿宋" w:hAnsi="仿宋" w:eastAsia="仿宋"/>
          <w:color w:val="000000"/>
          <w:sz w:val="32"/>
          <w:highlight w:val="white"/>
          <w:lang w:val="en-US"/>
        </w:rPr>
        <w:t>2</w:t>
      </w: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.城乡社区支出（类）城乡社区规划与管理（款）城乡社区规划与管理（项）反映城乡社区、防灾减灾、历史名城规划制定与管理等方面的支出。</w:t>
      </w:r>
      <w:r>
        <w:rPr>
          <w:rFonts w:hint="eastAsia" w:ascii="仿宋" w:hAnsi="仿宋" w:eastAsia="仿宋"/>
          <w:color w:val="000000"/>
          <w:sz w:val="32"/>
          <w:highlight w:val="white"/>
          <w:lang w:val="en-US"/>
        </w:rPr>
        <w:br w:type="textWrapping"/>
      </w:r>
      <w:r>
        <w:rPr>
          <w:rFonts w:hint="eastAsia" w:ascii="仿宋" w:hAnsi="仿宋" w:eastAsia="仿宋"/>
          <w:color w:val="000000"/>
          <w:sz w:val="32"/>
          <w:highlight w:val="white"/>
          <w:lang w:val="en-US" w:eastAsia="zh-CN"/>
        </w:rPr>
        <w:t xml:space="preserve">  25</w:t>
      </w:r>
      <w:r>
        <w:rPr>
          <w:rFonts w:hint="eastAsia" w:ascii="仿宋" w:hAnsi="仿宋" w:eastAsia="仿宋"/>
          <w:color w:val="000000"/>
          <w:sz w:val="32"/>
          <w:highlight w:val="white"/>
          <w:lang w:val="en-US"/>
        </w:rPr>
        <w:t>.住房保障支出（类）住房改革支出（款）住房公积金（项）反映行政事业单位用于按人力资源和社会保障部、财政部规定的基本工资和津贴补贴以及规定比例为职工缴纳的住房公积金。</w:t>
      </w:r>
      <w:r>
        <w:rPr>
          <w:rFonts w:hint="eastAsia" w:ascii="仿宋" w:hAnsi="仿宋" w:eastAsia="仿宋"/>
          <w:color w:val="000000"/>
          <w:sz w:val="32"/>
          <w:highlight w:val="white"/>
          <w:lang w:val="en-US"/>
        </w:rPr>
        <w:br w:type="textWrapping"/>
      </w:r>
    </w:p>
    <w:p>
      <w:pPr>
        <w:spacing w:beforeLines="0" w:afterLines="0" w:line="324" w:lineRule="auto"/>
        <w:ind w:firstLine="594"/>
        <w:rPr>
          <w:rFonts w:hint="eastAsia" w:ascii="仿宋" w:hAnsi="仿宋" w:eastAsia="仿宋"/>
          <w:color w:val="000000"/>
          <w:sz w:val="32"/>
          <w:highlight w:val="white"/>
          <w:lang w:val="zh-CN"/>
        </w:rPr>
      </w:pPr>
    </w:p>
    <w:p>
      <w:pPr>
        <w:spacing w:beforeLines="0" w:afterLines="0" w:line="324" w:lineRule="auto"/>
        <w:ind w:firstLine="594"/>
        <w:rPr>
          <w:rFonts w:hint="eastAsia" w:ascii="仿宋" w:hAnsi="仿宋" w:eastAsia="仿宋"/>
          <w:color w:val="000000"/>
          <w:sz w:val="32"/>
          <w:highlight w:val="white"/>
          <w:lang w:val="zh-CN"/>
        </w:rPr>
      </w:pPr>
    </w:p>
    <w:p>
      <w:pPr>
        <w:spacing w:beforeLines="0" w:afterLines="0" w:line="324" w:lineRule="auto"/>
        <w:ind w:firstLine="594"/>
        <w:rPr>
          <w:rFonts w:hint="eastAsia" w:ascii="仿宋" w:hAnsi="仿宋" w:eastAsia="仿宋"/>
          <w:color w:val="000000"/>
          <w:sz w:val="32"/>
          <w:highlight w:val="white"/>
          <w:lang w:val="en-US"/>
        </w:rPr>
      </w:pPr>
    </w:p>
    <w:p>
      <w:pPr>
        <w:spacing w:beforeLines="0" w:afterLines="0" w:line="324" w:lineRule="auto"/>
        <w:ind w:firstLine="594"/>
        <w:rPr>
          <w:rFonts w:hint="eastAsia" w:ascii="仿宋" w:hAnsi="仿宋" w:eastAsia="仿宋"/>
          <w:color w:val="000000"/>
          <w:sz w:val="32"/>
          <w:highlight w:val="white"/>
          <w:lang w:val="zh-CN"/>
        </w:rPr>
      </w:pPr>
    </w:p>
    <w:p>
      <w:pPr>
        <w:spacing w:beforeLines="0" w:afterLines="0" w:line="324" w:lineRule="auto"/>
        <w:ind w:firstLine="594"/>
        <w:rPr>
          <w:rFonts w:hint="eastAsia" w:ascii="仿宋" w:hAnsi="仿宋" w:eastAsia="仿宋"/>
          <w:color w:val="000000"/>
          <w:sz w:val="32"/>
          <w:highlight w:val="white"/>
          <w:lang w:val="zh-CN"/>
        </w:rPr>
      </w:pPr>
    </w:p>
    <w:p>
      <w:pPr>
        <w:spacing w:beforeLines="0" w:afterLines="0" w:line="324" w:lineRule="auto"/>
        <w:ind w:firstLine="594"/>
        <w:rPr>
          <w:rFonts w:hint="eastAsia" w:ascii="仿宋" w:hAnsi="仿宋" w:eastAsia="仿宋"/>
          <w:color w:val="000000"/>
          <w:sz w:val="32"/>
          <w:highlight w:val="white"/>
          <w:lang w:val="zh-CN"/>
        </w:rPr>
      </w:pPr>
    </w:p>
    <w:sectPr>
      <w:headerReference r:id="rId4" w:type="default"/>
      <w:footerReference r:id="rId5"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Lines="0" w:afterLines="0"/>
      <w:jc w:val="left"/>
      <w:rPr>
        <w:rFonts w:hint="default"/>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beforeLines="0" w:afterLines="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CKs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8JaVloxPDykIhk4Z4bX7pNfOhFi/pp+/LK/H4vWY//y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PiAirFAQAAawMAAA4AAAAAAAAAAQAgAAAAHgEAAGRycy9lMm9Eb2MueG1s&#10;UEsFBgAAAAAGAAYAWQEAAFUFAAAAAA==&#10;">
              <v:fill on="f" focussize="0,0"/>
              <v:stroke on="f"/>
              <v:imagedata o:title=""/>
              <o:lock v:ext="edit" aspectratio="f"/>
              <v:textbox inset="0mm,0mm,0mm,0mm" style="mso-fit-shape-to-text:t;">
                <w:txbxContent>
                  <w:p>
                    <w:pPr>
                      <w:pStyle w:val="2"/>
                      <w:spacing w:beforeLines="0" w:afterLines="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rPr>
    </w:pPr>
    <w:r>
      <w:rPr>
        <w:rFonts w:hint="default"/>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beforeLines="0" w:afterLines="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Qz7UnFAQAAawMAAA4AAAAAAAAAAQAgAAAAHgEAAGRycy9lMm9Eb2MueG1s&#10;UEsFBgAAAAAGAAYAWQEAAFUFAAAAAA==&#10;">
              <v:fill on="f" focussize="0,0"/>
              <v:stroke on="f"/>
              <v:imagedata o:title=""/>
              <o:lock v:ext="edit" aspectratio="f"/>
              <v:textbox inset="0mm,0mm,0mm,0mm" style="mso-fit-shape-to-text:t;">
                <w:txbxContent>
                  <w:p>
                    <w:pPr>
                      <w:pStyle w:val="2"/>
                      <w:spacing w:beforeLines="0" w:afterLines="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173D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kern w:val="2"/>
      <w:sz w:val="21"/>
    </w:rPr>
  </w:style>
  <w:style w:type="character" w:default="1" w:styleId="4">
    <w:name w:val="Default Paragraph Font"/>
    <w:unhideWhenUsed/>
    <w:uiPriority w:val="99"/>
    <w:rPr>
      <w:rFonts w:hint="default"/>
      <w:sz w:val="24"/>
    </w:rPr>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beforeLines="0" w:afterLines="0"/>
      <w:jc w:val="left"/>
    </w:pPr>
    <w:rPr>
      <w:rFonts w:hint="default"/>
      <w:sz w:val="18"/>
    </w:rPr>
  </w:style>
  <w:style w:type="paragraph" w:styleId="3">
    <w:name w:val="header"/>
    <w:basedOn w:val="1"/>
    <w:unhideWhenUsed/>
    <w:qFormat/>
    <w:uiPriority w:val="0"/>
    <w:pPr>
      <w:tabs>
        <w:tab w:val="center" w:pos="4153"/>
        <w:tab w:val="right" w:pos="8306"/>
      </w:tabs>
      <w:snapToGrid w:val="0"/>
      <w:spacing w:beforeLines="0" w:afterLines="0"/>
    </w:pPr>
    <w:rPr>
      <w:rFonts w:hint="default"/>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2021-09-29T09:14:17Z</dcterms:created>
  <cp:lastModifiedBy>徐啸</cp:lastModifiedBy>
  <dcterms:modified xsi:type="dcterms:W3CDTF">2021-09-29T09:14:25Z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