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324" w:lineRule="auto"/>
        <w:jc w:val="center"/>
        <w:rPr>
          <w:rFonts w:hint="eastAsia" w:ascii="方正小标宋简体" w:hAnsi="方正小标宋简体" w:eastAsia="方正小标宋简体" w:cs="方正小标宋简体"/>
          <w:b/>
          <w:color w:val="000000"/>
          <w:sz w:val="44"/>
          <w:szCs w:val="44"/>
          <w:highlight w:val="white"/>
        </w:rPr>
      </w:pPr>
      <w:r>
        <w:rPr>
          <w:rFonts w:hint="eastAsia" w:ascii="方正小标宋简体" w:hAnsi="方正小标宋简体" w:eastAsia="方正小标宋简体" w:cs="方正小标宋简体"/>
          <w:bCs/>
          <w:color w:val="000000"/>
          <w:spacing w:val="15"/>
          <w:sz w:val="44"/>
          <w:szCs w:val="44"/>
        </w:rPr>
        <w:t>金华市林业有害生物防治检疫站</w:t>
      </w:r>
      <w:r>
        <w:rPr>
          <w:rFonts w:hint="eastAsia" w:ascii="方正小标宋简体" w:hAnsi="方正小标宋简体" w:eastAsia="方正小标宋简体" w:cs="方正小标宋简体"/>
          <w:b/>
          <w:color w:val="000000"/>
          <w:sz w:val="44"/>
          <w:szCs w:val="44"/>
          <w:highlight w:val="white"/>
        </w:rPr>
        <w:t>2020年度单位决算目录</w:t>
      </w:r>
    </w:p>
    <w:p>
      <w:pPr>
        <w:spacing w:beforeLines="0" w:afterLines="0" w:line="560" w:lineRule="exact"/>
        <w:jc w:val="left"/>
        <w:rPr>
          <w:rFonts w:hint="eastAsia" w:ascii="等线" w:hAnsi="等线" w:eastAsia="等线"/>
          <w:sz w:val="22"/>
        </w:rPr>
      </w:pPr>
      <w:r>
        <w:rPr>
          <w:rFonts w:hint="eastAsia" w:ascii="等线" w:hAnsi="等线" w:eastAsia="等线"/>
          <w:color w:val="000000"/>
          <w:sz w:val="22"/>
          <w:highlight w:val="white"/>
        </w:rPr>
        <w:t>一、概况..............................................................</w:t>
      </w:r>
      <w:r>
        <w:rPr>
          <w:rFonts w:hint="eastAsia" w:ascii="等线" w:hAnsi="等线" w:eastAsia="等线"/>
          <w:sz w:val="22"/>
        </w:rPr>
        <w:t xml:space="preserve">( </w:t>
      </w:r>
      <w:r>
        <w:rPr>
          <w:rFonts w:hint="eastAsia" w:ascii="等线" w:hAnsi="等线" w:eastAsia="等线"/>
          <w:sz w:val="22"/>
          <w:lang w:val="en-US" w:eastAsia="zh-CN"/>
        </w:rPr>
        <w:t>1</w:t>
      </w:r>
      <w:r>
        <w:rPr>
          <w:rFonts w:hint="eastAsia" w:ascii="等线" w:hAnsi="等线" w:eastAsia="等线"/>
          <w:sz w:val="22"/>
        </w:rPr>
        <w:t xml:space="preserve"> )</w:t>
      </w:r>
    </w:p>
    <w:p>
      <w:pPr>
        <w:spacing w:beforeLines="0" w:afterLines="0" w:line="560" w:lineRule="exact"/>
        <w:jc w:val="left"/>
        <w:rPr>
          <w:rFonts w:hint="eastAsia" w:ascii="等线" w:hAnsi="等线" w:eastAsia="等线"/>
          <w:sz w:val="22"/>
        </w:rPr>
      </w:pPr>
      <w:r>
        <w:rPr>
          <w:rFonts w:hint="eastAsia" w:ascii="等线" w:hAnsi="等线" w:eastAsia="等线"/>
          <w:color w:val="000000"/>
          <w:sz w:val="22"/>
          <w:highlight w:val="white"/>
        </w:rPr>
        <w:t>（一）部门（单位）职责................................................</w:t>
      </w:r>
      <w:r>
        <w:rPr>
          <w:rFonts w:hint="eastAsia" w:ascii="等线" w:hAnsi="等线" w:eastAsia="等线"/>
          <w:sz w:val="22"/>
        </w:rPr>
        <w:t xml:space="preserve">( </w:t>
      </w:r>
      <w:r>
        <w:rPr>
          <w:rFonts w:hint="eastAsia" w:ascii="等线" w:hAnsi="等线" w:eastAsia="等线"/>
          <w:sz w:val="22"/>
          <w:lang w:val="en-US" w:eastAsia="zh-CN"/>
        </w:rPr>
        <w:t>1</w:t>
      </w:r>
      <w:r>
        <w:rPr>
          <w:rFonts w:hint="eastAsia" w:ascii="等线" w:hAnsi="等线" w:eastAsia="等线"/>
          <w:sz w:val="22"/>
        </w:rPr>
        <w:t xml:space="preserve"> )</w:t>
      </w:r>
    </w:p>
    <w:p>
      <w:pPr>
        <w:spacing w:beforeLines="0" w:afterLines="0" w:line="560" w:lineRule="exact"/>
        <w:jc w:val="left"/>
        <w:rPr>
          <w:rFonts w:hint="eastAsia" w:ascii="等线" w:hAnsi="等线" w:eastAsia="等线"/>
          <w:sz w:val="22"/>
        </w:rPr>
      </w:pPr>
      <w:r>
        <w:rPr>
          <w:rFonts w:hint="eastAsia" w:ascii="等线" w:hAnsi="等线" w:eastAsia="等线"/>
          <w:color w:val="000000"/>
          <w:sz w:val="22"/>
          <w:highlight w:val="white"/>
        </w:rPr>
        <w:t>（二）机构设置........................................................</w:t>
      </w:r>
      <w:r>
        <w:rPr>
          <w:rFonts w:hint="eastAsia" w:ascii="等线" w:hAnsi="等线" w:eastAsia="等线"/>
          <w:sz w:val="22"/>
        </w:rPr>
        <w:t xml:space="preserve">( </w:t>
      </w:r>
      <w:r>
        <w:rPr>
          <w:rFonts w:hint="eastAsia" w:ascii="等线" w:hAnsi="等线" w:eastAsia="等线"/>
          <w:sz w:val="22"/>
          <w:lang w:val="en-US" w:eastAsia="zh-CN"/>
        </w:rPr>
        <w:t>1</w:t>
      </w:r>
      <w:r>
        <w:rPr>
          <w:rFonts w:hint="eastAsia" w:ascii="等线" w:hAnsi="等线" w:eastAsia="等线"/>
          <w:sz w:val="22"/>
        </w:rPr>
        <w:t xml:space="preserve"> )</w:t>
      </w:r>
    </w:p>
    <w:p>
      <w:pPr>
        <w:spacing w:beforeLines="0" w:afterLines="0" w:line="560" w:lineRule="exact"/>
        <w:jc w:val="left"/>
        <w:rPr>
          <w:rFonts w:hint="eastAsia" w:ascii="等线" w:hAnsi="等线" w:eastAsia="等线"/>
          <w:sz w:val="22"/>
        </w:rPr>
      </w:pPr>
      <w:r>
        <w:rPr>
          <w:rFonts w:hint="eastAsia" w:ascii="等线" w:hAnsi="等线" w:eastAsia="等线"/>
          <w:sz w:val="22"/>
        </w:rPr>
        <w:t>二、</w:t>
      </w:r>
      <w:r>
        <w:rPr>
          <w:rFonts w:hint="eastAsia" w:ascii="等线" w:hAnsi="等线" w:eastAsia="等线"/>
          <w:color w:val="000000"/>
          <w:sz w:val="22"/>
          <w:highlight w:val="white"/>
        </w:rPr>
        <w:t>2020年度部门（单位）决算公开表....................................</w:t>
      </w:r>
      <w:r>
        <w:rPr>
          <w:rFonts w:hint="eastAsia" w:ascii="等线" w:hAnsi="等线" w:eastAsia="等线"/>
          <w:sz w:val="22"/>
        </w:rPr>
        <w:t xml:space="preserve">( </w:t>
      </w:r>
      <w:r>
        <w:rPr>
          <w:rFonts w:hint="eastAsia" w:ascii="等线" w:hAnsi="等线" w:eastAsia="等线"/>
          <w:sz w:val="22"/>
          <w:lang w:val="en-US" w:eastAsia="zh-CN"/>
        </w:rPr>
        <w:t>1</w:t>
      </w:r>
      <w:r>
        <w:rPr>
          <w:rFonts w:hint="eastAsia" w:ascii="等线" w:hAnsi="等线" w:eastAsia="等线"/>
          <w:sz w:val="22"/>
        </w:rPr>
        <w:t xml:space="preserve"> )</w:t>
      </w:r>
    </w:p>
    <w:p>
      <w:pPr>
        <w:spacing w:beforeLines="0" w:afterLines="0" w:line="560" w:lineRule="exact"/>
        <w:jc w:val="left"/>
        <w:rPr>
          <w:rFonts w:hint="eastAsia" w:ascii="等线" w:hAnsi="等线" w:eastAsia="等线"/>
          <w:sz w:val="22"/>
        </w:rPr>
      </w:pPr>
      <w:r>
        <w:rPr>
          <w:rFonts w:hint="eastAsia" w:ascii="等线" w:hAnsi="等线" w:eastAsia="等线"/>
          <w:sz w:val="22"/>
          <w:highlight w:val="white"/>
          <w:lang w:val="zh-CN"/>
        </w:rPr>
        <w:t>三、</w:t>
      </w:r>
      <w:r>
        <w:rPr>
          <w:rFonts w:hint="eastAsia" w:ascii="等线" w:hAnsi="等线" w:eastAsia="等线"/>
          <w:color w:val="000000"/>
          <w:sz w:val="22"/>
          <w:highlight w:val="white"/>
        </w:rPr>
        <w:t>2020年度部门（单位）决算情况说明..................................</w:t>
      </w:r>
      <w:r>
        <w:rPr>
          <w:rFonts w:hint="eastAsia" w:ascii="等线" w:hAnsi="等线" w:eastAsia="等线"/>
          <w:sz w:val="22"/>
        </w:rPr>
        <w:t xml:space="preserve">( </w:t>
      </w:r>
      <w:r>
        <w:rPr>
          <w:rFonts w:hint="eastAsia" w:ascii="等线" w:hAnsi="等线" w:eastAsia="等线"/>
          <w:sz w:val="22"/>
          <w:lang w:val="en-US" w:eastAsia="zh-CN"/>
        </w:rPr>
        <w:t>1-12</w:t>
      </w:r>
      <w:r>
        <w:rPr>
          <w:rFonts w:hint="eastAsia" w:ascii="等线" w:hAnsi="等线" w:eastAsia="等线"/>
          <w:sz w:val="22"/>
        </w:rPr>
        <w:t xml:space="preserve"> )</w:t>
      </w:r>
    </w:p>
    <w:p>
      <w:pPr>
        <w:spacing w:beforeLines="0" w:afterLines="0" w:line="560" w:lineRule="exact"/>
        <w:jc w:val="left"/>
        <w:rPr>
          <w:rFonts w:hint="eastAsia" w:ascii="等线" w:hAnsi="等线" w:eastAsia="等线"/>
          <w:sz w:val="22"/>
        </w:rPr>
      </w:pPr>
      <w:r>
        <w:rPr>
          <w:rFonts w:hint="eastAsia" w:ascii="等线" w:hAnsi="等线" w:eastAsia="等线"/>
          <w:color w:val="000000"/>
          <w:sz w:val="22"/>
          <w:highlight w:val="white"/>
        </w:rPr>
        <w:t>（一）收入支出决算总体情况说明.........................................</w:t>
      </w:r>
      <w:r>
        <w:rPr>
          <w:rFonts w:hint="eastAsia" w:ascii="等线" w:hAnsi="等线" w:eastAsia="等线"/>
          <w:sz w:val="22"/>
        </w:rPr>
        <w:t xml:space="preserve">( </w:t>
      </w:r>
      <w:r>
        <w:rPr>
          <w:rFonts w:hint="eastAsia" w:ascii="等线" w:hAnsi="等线" w:eastAsia="等线"/>
          <w:sz w:val="22"/>
          <w:lang w:val="en-US" w:eastAsia="zh-CN"/>
        </w:rPr>
        <w:t>2-3</w:t>
      </w:r>
      <w:r>
        <w:rPr>
          <w:rFonts w:hint="eastAsia" w:ascii="等线" w:hAnsi="等线" w:eastAsia="等线"/>
          <w:sz w:val="22"/>
        </w:rPr>
        <w:t xml:space="preserve"> )</w:t>
      </w:r>
    </w:p>
    <w:p>
      <w:pPr>
        <w:spacing w:beforeLines="0" w:afterLines="0" w:line="560" w:lineRule="exact"/>
        <w:jc w:val="left"/>
        <w:rPr>
          <w:rFonts w:hint="eastAsia" w:ascii="等线" w:hAnsi="等线" w:eastAsia="等线"/>
          <w:sz w:val="22"/>
        </w:rPr>
      </w:pPr>
      <w:r>
        <w:rPr>
          <w:rFonts w:hint="eastAsia" w:ascii="等线" w:hAnsi="等线" w:eastAsia="等线"/>
          <w:color w:val="000000"/>
          <w:sz w:val="22"/>
          <w:highlight w:val="white"/>
        </w:rPr>
        <w:t>（二）收入决算情况说明.................................................</w:t>
      </w:r>
      <w:r>
        <w:rPr>
          <w:rFonts w:hint="eastAsia" w:ascii="等线" w:hAnsi="等线" w:eastAsia="等线"/>
          <w:sz w:val="22"/>
        </w:rPr>
        <w:t xml:space="preserve">( </w:t>
      </w:r>
      <w:r>
        <w:rPr>
          <w:rFonts w:hint="eastAsia" w:ascii="等线" w:hAnsi="等线" w:eastAsia="等线"/>
          <w:sz w:val="22"/>
          <w:lang w:val="en-US" w:eastAsia="zh-CN"/>
        </w:rPr>
        <w:t>3</w:t>
      </w:r>
      <w:r>
        <w:rPr>
          <w:rFonts w:hint="eastAsia" w:ascii="等线" w:hAnsi="等线" w:eastAsia="等线"/>
          <w:sz w:val="22"/>
        </w:rPr>
        <w:t xml:space="preserve"> )</w:t>
      </w:r>
    </w:p>
    <w:p>
      <w:pPr>
        <w:spacing w:beforeLines="0" w:afterLines="0" w:line="560" w:lineRule="exact"/>
        <w:jc w:val="left"/>
        <w:rPr>
          <w:rFonts w:hint="eastAsia" w:ascii="等线" w:hAnsi="等线" w:eastAsia="等线"/>
          <w:sz w:val="22"/>
        </w:rPr>
      </w:pPr>
      <w:r>
        <w:rPr>
          <w:rFonts w:hint="eastAsia" w:ascii="等线" w:hAnsi="等线" w:eastAsia="等线"/>
          <w:color w:val="000000"/>
          <w:sz w:val="22"/>
          <w:highlight w:val="white"/>
        </w:rPr>
        <w:t>（三）支出决算情况说明.................................................</w:t>
      </w:r>
      <w:r>
        <w:rPr>
          <w:rFonts w:hint="eastAsia" w:ascii="等线" w:hAnsi="等线" w:eastAsia="等线"/>
          <w:sz w:val="22"/>
        </w:rPr>
        <w:t xml:space="preserve">( </w:t>
      </w:r>
      <w:r>
        <w:rPr>
          <w:rFonts w:hint="eastAsia" w:ascii="等线" w:hAnsi="等线" w:eastAsia="等线"/>
          <w:sz w:val="22"/>
          <w:lang w:val="en-US" w:eastAsia="zh-CN"/>
        </w:rPr>
        <w:t>3</w:t>
      </w:r>
      <w:r>
        <w:rPr>
          <w:rFonts w:hint="eastAsia" w:ascii="等线" w:hAnsi="等线" w:eastAsia="等线"/>
          <w:sz w:val="22"/>
        </w:rPr>
        <w:t xml:space="preserve"> )</w:t>
      </w:r>
    </w:p>
    <w:p>
      <w:pPr>
        <w:spacing w:beforeLines="0" w:afterLines="0" w:line="560" w:lineRule="exact"/>
        <w:jc w:val="left"/>
        <w:rPr>
          <w:rFonts w:hint="eastAsia" w:ascii="等线" w:hAnsi="等线" w:eastAsia="等线"/>
          <w:sz w:val="22"/>
        </w:rPr>
      </w:pPr>
      <w:r>
        <w:rPr>
          <w:rFonts w:hint="eastAsia" w:ascii="等线" w:hAnsi="等线" w:eastAsia="等线"/>
          <w:color w:val="000000"/>
          <w:sz w:val="22"/>
          <w:highlight w:val="white"/>
        </w:rPr>
        <w:t>（四）财政拨款收入支出决算总体情况说明.................................</w:t>
      </w:r>
      <w:r>
        <w:rPr>
          <w:rFonts w:hint="eastAsia" w:ascii="等线" w:hAnsi="等线" w:eastAsia="等线"/>
          <w:sz w:val="22"/>
        </w:rPr>
        <w:t xml:space="preserve">( </w:t>
      </w:r>
      <w:r>
        <w:rPr>
          <w:rFonts w:hint="eastAsia" w:ascii="等线" w:hAnsi="等线" w:eastAsia="等线"/>
          <w:sz w:val="22"/>
          <w:lang w:val="en-US" w:eastAsia="zh-CN"/>
        </w:rPr>
        <w:t>3-4</w:t>
      </w:r>
      <w:r>
        <w:rPr>
          <w:rFonts w:hint="eastAsia" w:ascii="等线" w:hAnsi="等线" w:eastAsia="等线"/>
          <w:sz w:val="22"/>
        </w:rPr>
        <w:t xml:space="preserve"> )</w:t>
      </w:r>
    </w:p>
    <w:p>
      <w:pPr>
        <w:spacing w:beforeLines="0" w:afterLines="0" w:line="560" w:lineRule="exact"/>
        <w:jc w:val="left"/>
        <w:rPr>
          <w:rFonts w:hint="eastAsia" w:ascii="等线" w:hAnsi="等线" w:eastAsia="等线"/>
          <w:sz w:val="22"/>
        </w:rPr>
      </w:pPr>
      <w:r>
        <w:rPr>
          <w:rFonts w:hint="eastAsia" w:ascii="等线" w:hAnsi="等线" w:eastAsia="等线"/>
          <w:color w:val="000000"/>
          <w:sz w:val="22"/>
          <w:highlight w:val="white"/>
        </w:rPr>
        <w:t>（五）一般公共预算财政拨款支出决算情况说明.............................</w:t>
      </w:r>
      <w:r>
        <w:rPr>
          <w:rFonts w:hint="eastAsia" w:ascii="等线" w:hAnsi="等线" w:eastAsia="等线"/>
          <w:sz w:val="22"/>
        </w:rPr>
        <w:t xml:space="preserve">( </w:t>
      </w:r>
      <w:r>
        <w:rPr>
          <w:rFonts w:hint="eastAsia" w:ascii="等线" w:hAnsi="等线" w:eastAsia="等线"/>
          <w:sz w:val="22"/>
          <w:lang w:val="en-US" w:eastAsia="zh-CN"/>
        </w:rPr>
        <w:t>4-6</w:t>
      </w:r>
      <w:r>
        <w:rPr>
          <w:rFonts w:hint="eastAsia" w:ascii="等线" w:hAnsi="等线" w:eastAsia="等线"/>
          <w:sz w:val="22"/>
        </w:rPr>
        <w:t xml:space="preserve"> )</w:t>
      </w:r>
    </w:p>
    <w:p>
      <w:pPr>
        <w:spacing w:beforeLines="0" w:afterLines="0" w:line="560" w:lineRule="exact"/>
        <w:jc w:val="left"/>
        <w:rPr>
          <w:rFonts w:hint="eastAsia" w:ascii="等线" w:hAnsi="等线" w:eastAsia="等线"/>
          <w:sz w:val="22"/>
        </w:rPr>
      </w:pPr>
      <w:r>
        <w:rPr>
          <w:rFonts w:hint="eastAsia" w:ascii="等线" w:hAnsi="等线" w:eastAsia="等线"/>
          <w:color w:val="000000"/>
          <w:sz w:val="22"/>
          <w:highlight w:val="white"/>
        </w:rPr>
        <w:t>（六）一般公共预算财政拨款基本支出决算情况说明.........................</w:t>
      </w:r>
      <w:r>
        <w:rPr>
          <w:rFonts w:hint="eastAsia" w:ascii="等线" w:hAnsi="等线" w:eastAsia="等线"/>
          <w:sz w:val="22"/>
        </w:rPr>
        <w:t xml:space="preserve">( </w:t>
      </w:r>
      <w:r>
        <w:rPr>
          <w:rFonts w:hint="eastAsia" w:ascii="等线" w:hAnsi="等线" w:eastAsia="等线"/>
          <w:sz w:val="22"/>
          <w:lang w:val="en-US" w:eastAsia="zh-CN"/>
        </w:rPr>
        <w:t>7</w:t>
      </w:r>
      <w:r>
        <w:rPr>
          <w:rFonts w:hint="eastAsia" w:ascii="等线" w:hAnsi="等线" w:eastAsia="等线"/>
          <w:sz w:val="22"/>
        </w:rPr>
        <w:t xml:space="preserve"> )</w:t>
      </w:r>
    </w:p>
    <w:p>
      <w:pPr>
        <w:spacing w:beforeLines="0" w:afterLines="0" w:line="560" w:lineRule="exact"/>
        <w:jc w:val="left"/>
        <w:rPr>
          <w:rFonts w:hint="eastAsia" w:ascii="等线" w:hAnsi="等线" w:eastAsia="等线"/>
          <w:sz w:val="22"/>
        </w:rPr>
      </w:pPr>
      <w:r>
        <w:rPr>
          <w:rFonts w:hint="eastAsia" w:ascii="等线" w:hAnsi="等线" w:eastAsia="等线"/>
          <w:color w:val="000000"/>
          <w:sz w:val="22"/>
          <w:highlight w:val="white"/>
        </w:rPr>
        <w:t>（七）政府性基金预算财政拨款支出</w:t>
      </w:r>
      <w:r>
        <w:rPr>
          <w:rFonts w:hint="eastAsia" w:ascii="等线" w:hAnsi="等线" w:eastAsia="等线"/>
          <w:color w:val="000000"/>
          <w:sz w:val="22"/>
          <w:highlight w:val="white"/>
          <w:lang w:val="zh-CN"/>
        </w:rPr>
        <w:t>决算</w:t>
      </w:r>
      <w:r>
        <w:rPr>
          <w:rFonts w:hint="eastAsia" w:ascii="等线" w:hAnsi="等线" w:eastAsia="等线"/>
          <w:color w:val="000000"/>
          <w:sz w:val="22"/>
          <w:highlight w:val="white"/>
        </w:rPr>
        <w:t>总体情况说明.......................</w:t>
      </w:r>
      <w:r>
        <w:rPr>
          <w:rFonts w:hint="eastAsia" w:ascii="等线" w:hAnsi="等线" w:eastAsia="等线"/>
          <w:sz w:val="22"/>
        </w:rPr>
        <w:t xml:space="preserve">( </w:t>
      </w:r>
      <w:r>
        <w:rPr>
          <w:rFonts w:hint="eastAsia" w:ascii="等线" w:hAnsi="等线" w:eastAsia="等线"/>
          <w:sz w:val="22"/>
          <w:lang w:val="en-US" w:eastAsia="zh-CN"/>
        </w:rPr>
        <w:t>7</w:t>
      </w:r>
      <w:r>
        <w:rPr>
          <w:rFonts w:hint="eastAsia" w:ascii="等线" w:hAnsi="等线" w:eastAsia="等线"/>
          <w:sz w:val="22"/>
        </w:rPr>
        <w:t xml:space="preserve"> )</w:t>
      </w:r>
    </w:p>
    <w:p>
      <w:pPr>
        <w:spacing w:beforeLines="0" w:afterLines="0" w:line="560" w:lineRule="exact"/>
        <w:jc w:val="left"/>
        <w:rPr>
          <w:rFonts w:hint="eastAsia" w:ascii="等线" w:hAnsi="等线" w:eastAsia="等线"/>
          <w:color w:val="000000"/>
          <w:sz w:val="22"/>
          <w:highlight w:val="white"/>
        </w:rPr>
      </w:pPr>
      <w:r>
        <w:rPr>
          <w:rFonts w:hint="eastAsia" w:ascii="等线" w:hAnsi="等线" w:eastAsia="等线"/>
          <w:color w:val="000000"/>
          <w:sz w:val="22"/>
          <w:highlight w:val="white"/>
        </w:rPr>
        <w:t>（八）国有资本经营预算财政拨款支出</w:t>
      </w:r>
      <w:r>
        <w:rPr>
          <w:rFonts w:hint="eastAsia" w:ascii="等线" w:hAnsi="等线" w:eastAsia="等线"/>
          <w:color w:val="000000"/>
          <w:sz w:val="22"/>
          <w:highlight w:val="white"/>
          <w:lang w:val="zh-CN"/>
        </w:rPr>
        <w:t>决算</w:t>
      </w:r>
      <w:r>
        <w:rPr>
          <w:rFonts w:hint="eastAsia" w:ascii="等线" w:hAnsi="等线" w:eastAsia="等线"/>
          <w:color w:val="000000"/>
          <w:sz w:val="22"/>
          <w:highlight w:val="white"/>
        </w:rPr>
        <w:t>总体情况说明.....................</w:t>
      </w:r>
      <w:r>
        <w:rPr>
          <w:rFonts w:hint="eastAsia" w:ascii="等线" w:hAnsi="等线" w:eastAsia="等线"/>
          <w:sz w:val="22"/>
        </w:rPr>
        <w:t xml:space="preserve">( </w:t>
      </w:r>
      <w:r>
        <w:rPr>
          <w:rFonts w:hint="eastAsia" w:ascii="等线" w:hAnsi="等线" w:eastAsia="等线"/>
          <w:sz w:val="22"/>
          <w:lang w:val="en-US" w:eastAsia="zh-CN"/>
        </w:rPr>
        <w:t>7</w:t>
      </w:r>
      <w:r>
        <w:rPr>
          <w:rFonts w:hint="eastAsia" w:ascii="等线" w:hAnsi="等线" w:eastAsia="等线"/>
          <w:sz w:val="22"/>
        </w:rPr>
        <w:t xml:space="preserve"> )</w:t>
      </w:r>
    </w:p>
    <w:p>
      <w:pPr>
        <w:spacing w:beforeLines="0" w:afterLines="0" w:line="560" w:lineRule="exact"/>
        <w:jc w:val="left"/>
        <w:rPr>
          <w:rFonts w:hint="eastAsia" w:ascii="等线" w:hAnsi="等线" w:eastAsia="等线"/>
          <w:color w:val="000000"/>
          <w:sz w:val="22"/>
          <w:highlight w:val="white"/>
        </w:rPr>
      </w:pPr>
      <w:r>
        <w:rPr>
          <w:rFonts w:hint="eastAsia" w:ascii="等线" w:hAnsi="等线" w:eastAsia="等线"/>
          <w:color w:val="000000"/>
          <w:sz w:val="22"/>
          <w:highlight w:val="white"/>
        </w:rPr>
        <w:t>（九）一般公共预算财政拨款“三公”经费支出决算情况说明.................</w:t>
      </w:r>
      <w:r>
        <w:rPr>
          <w:rFonts w:hint="eastAsia" w:ascii="等线" w:hAnsi="等线" w:eastAsia="等线"/>
          <w:sz w:val="22"/>
        </w:rPr>
        <w:t xml:space="preserve">( </w:t>
      </w:r>
      <w:r>
        <w:rPr>
          <w:rFonts w:hint="eastAsia" w:ascii="等线" w:hAnsi="等线" w:eastAsia="等线"/>
          <w:sz w:val="22"/>
          <w:lang w:val="en-US" w:eastAsia="zh-CN"/>
        </w:rPr>
        <w:t>7-10</w:t>
      </w:r>
      <w:r>
        <w:rPr>
          <w:rFonts w:hint="eastAsia" w:ascii="等线" w:hAnsi="等线" w:eastAsia="等线"/>
          <w:sz w:val="22"/>
        </w:rPr>
        <w:t xml:space="preserve"> )</w:t>
      </w:r>
    </w:p>
    <w:p>
      <w:pPr>
        <w:spacing w:beforeLines="0" w:afterLines="0" w:line="560" w:lineRule="exact"/>
        <w:jc w:val="left"/>
        <w:rPr>
          <w:rFonts w:hint="eastAsia" w:ascii="等线" w:hAnsi="等线" w:eastAsia="等线"/>
          <w:sz w:val="22"/>
        </w:rPr>
      </w:pPr>
      <w:r>
        <w:rPr>
          <w:rFonts w:hint="eastAsia" w:ascii="等线" w:hAnsi="等线" w:eastAsia="等线"/>
          <w:color w:val="000000"/>
          <w:sz w:val="22"/>
          <w:highlight w:val="white"/>
        </w:rPr>
        <w:t>（十）机关运行经费支出说明.............................................</w:t>
      </w:r>
      <w:r>
        <w:rPr>
          <w:rFonts w:hint="eastAsia" w:ascii="等线" w:hAnsi="等线" w:eastAsia="等线"/>
          <w:sz w:val="22"/>
        </w:rPr>
        <w:t xml:space="preserve">( </w:t>
      </w:r>
      <w:r>
        <w:rPr>
          <w:rFonts w:hint="eastAsia" w:ascii="等线" w:hAnsi="等线" w:eastAsia="等线"/>
          <w:sz w:val="22"/>
          <w:lang w:val="en-US" w:eastAsia="zh-CN"/>
        </w:rPr>
        <w:t>10</w:t>
      </w:r>
      <w:r>
        <w:rPr>
          <w:rFonts w:hint="eastAsia" w:ascii="等线" w:hAnsi="等线" w:eastAsia="等线"/>
          <w:sz w:val="22"/>
        </w:rPr>
        <w:t xml:space="preserve"> )</w:t>
      </w:r>
    </w:p>
    <w:p>
      <w:pPr>
        <w:spacing w:beforeLines="0" w:afterLines="0" w:line="560" w:lineRule="exact"/>
        <w:jc w:val="left"/>
        <w:rPr>
          <w:rFonts w:hint="eastAsia" w:ascii="等线" w:hAnsi="等线" w:eastAsia="等线"/>
          <w:color w:val="000000"/>
          <w:sz w:val="22"/>
          <w:highlight w:val="white"/>
        </w:rPr>
      </w:pPr>
      <w:r>
        <w:rPr>
          <w:rFonts w:hint="eastAsia" w:ascii="等线" w:hAnsi="等线" w:eastAsia="等线"/>
          <w:color w:val="000000"/>
          <w:sz w:val="22"/>
          <w:highlight w:val="white"/>
        </w:rPr>
        <w:t>（十一）政府采购支出说明...............................................</w:t>
      </w:r>
      <w:r>
        <w:rPr>
          <w:rFonts w:hint="eastAsia" w:ascii="等线" w:hAnsi="等线" w:eastAsia="等线"/>
          <w:sz w:val="22"/>
        </w:rPr>
        <w:t xml:space="preserve">( </w:t>
      </w:r>
      <w:r>
        <w:rPr>
          <w:rFonts w:hint="eastAsia" w:ascii="等线" w:hAnsi="等线" w:eastAsia="等线"/>
          <w:sz w:val="22"/>
          <w:lang w:val="en-US" w:eastAsia="zh-CN"/>
        </w:rPr>
        <w:t>10</w:t>
      </w:r>
      <w:r>
        <w:rPr>
          <w:rFonts w:hint="eastAsia" w:ascii="等线" w:hAnsi="等线" w:eastAsia="等线"/>
          <w:sz w:val="22"/>
        </w:rPr>
        <w:t xml:space="preserve"> )</w:t>
      </w:r>
    </w:p>
    <w:p>
      <w:pPr>
        <w:spacing w:beforeLines="0" w:afterLines="0" w:line="560" w:lineRule="exact"/>
        <w:jc w:val="left"/>
        <w:rPr>
          <w:rFonts w:hint="eastAsia" w:ascii="等线" w:hAnsi="等线" w:eastAsia="等线"/>
          <w:color w:val="000000"/>
          <w:sz w:val="22"/>
          <w:highlight w:val="white"/>
        </w:rPr>
      </w:pPr>
      <w:r>
        <w:rPr>
          <w:rFonts w:hint="eastAsia" w:ascii="等线" w:hAnsi="等线" w:eastAsia="等线"/>
          <w:color w:val="000000"/>
          <w:sz w:val="22"/>
          <w:highlight w:val="white"/>
        </w:rPr>
        <w:t>（十二）国有资产占有情况说明...........................................</w:t>
      </w:r>
      <w:r>
        <w:rPr>
          <w:rFonts w:hint="eastAsia" w:ascii="等线" w:hAnsi="等线" w:eastAsia="等线"/>
          <w:sz w:val="22"/>
        </w:rPr>
        <w:t xml:space="preserve">( </w:t>
      </w:r>
      <w:r>
        <w:rPr>
          <w:rFonts w:hint="eastAsia" w:ascii="等线" w:hAnsi="等线" w:eastAsia="等线"/>
          <w:sz w:val="22"/>
          <w:lang w:val="en-US" w:eastAsia="zh-CN"/>
        </w:rPr>
        <w:t>10</w:t>
      </w:r>
      <w:r>
        <w:rPr>
          <w:rFonts w:hint="eastAsia" w:ascii="等线" w:hAnsi="等线" w:eastAsia="等线"/>
          <w:sz w:val="22"/>
        </w:rPr>
        <w:t xml:space="preserve"> )</w:t>
      </w:r>
    </w:p>
    <w:p>
      <w:pPr>
        <w:spacing w:beforeLines="0" w:afterLines="0" w:line="560" w:lineRule="exact"/>
        <w:jc w:val="left"/>
        <w:rPr>
          <w:rFonts w:hint="eastAsia" w:ascii="等线" w:hAnsi="等线" w:eastAsia="等线"/>
          <w:sz w:val="22"/>
        </w:rPr>
      </w:pPr>
      <w:r>
        <w:rPr>
          <w:rFonts w:hint="eastAsia" w:ascii="等线" w:hAnsi="等线" w:eastAsia="等线"/>
          <w:color w:val="000000"/>
          <w:sz w:val="22"/>
          <w:highlight w:val="white"/>
        </w:rPr>
        <w:t>（十三）预算绩效情况说明...............................................</w:t>
      </w:r>
      <w:r>
        <w:rPr>
          <w:rFonts w:hint="eastAsia" w:ascii="等线" w:hAnsi="等线" w:eastAsia="等线"/>
          <w:sz w:val="22"/>
        </w:rPr>
        <w:t xml:space="preserve">( </w:t>
      </w:r>
      <w:r>
        <w:rPr>
          <w:rFonts w:hint="eastAsia" w:ascii="等线" w:hAnsi="等线" w:eastAsia="等线"/>
          <w:sz w:val="22"/>
          <w:lang w:val="en-US" w:eastAsia="zh-CN"/>
        </w:rPr>
        <w:t>11-12</w:t>
      </w:r>
      <w:r>
        <w:rPr>
          <w:rFonts w:hint="eastAsia" w:ascii="等线" w:hAnsi="等线" w:eastAsia="等线"/>
          <w:sz w:val="22"/>
        </w:rPr>
        <w:t xml:space="preserve"> )</w:t>
      </w:r>
    </w:p>
    <w:p>
      <w:pPr>
        <w:spacing w:beforeLines="0" w:afterLines="0" w:line="560" w:lineRule="exact"/>
        <w:jc w:val="left"/>
        <w:rPr>
          <w:rFonts w:hint="eastAsia" w:ascii="黑体" w:hAnsi="黑体" w:eastAsia="黑体"/>
          <w:b/>
          <w:color w:val="000000"/>
          <w:sz w:val="32"/>
          <w:highlight w:val="white"/>
          <w:lang w:val="en-US"/>
        </w:rPr>
      </w:pPr>
      <w:r>
        <w:rPr>
          <w:rFonts w:hint="eastAsia" w:ascii="等线" w:hAnsi="等线" w:eastAsia="等线"/>
          <w:color w:val="000000"/>
          <w:sz w:val="22"/>
          <w:highlight w:val="white"/>
        </w:rPr>
        <w:t>四、名词解释...........................................................</w:t>
      </w:r>
      <w:r>
        <w:rPr>
          <w:rFonts w:hint="eastAsia" w:ascii="等线" w:hAnsi="等线" w:eastAsia="等线"/>
          <w:sz w:val="22"/>
        </w:rPr>
        <w:t xml:space="preserve">( </w:t>
      </w:r>
      <w:r>
        <w:rPr>
          <w:rFonts w:hint="eastAsia" w:ascii="等线" w:hAnsi="等线" w:eastAsia="等线"/>
          <w:sz w:val="22"/>
          <w:lang w:val="en-US" w:eastAsia="zh-CN"/>
        </w:rPr>
        <w:t>12-1</w:t>
      </w:r>
      <w:r>
        <w:rPr>
          <w:rFonts w:hint="default" w:ascii="等线" w:hAnsi="等线" w:eastAsia="等线"/>
          <w:sz w:val="22"/>
          <w:lang w:val="en" w:eastAsia="zh-CN"/>
        </w:rPr>
        <w:t>5</w:t>
      </w:r>
      <w:bookmarkStart w:id="0" w:name="_GoBack"/>
      <w:bookmarkEnd w:id="0"/>
      <w:r>
        <w:rPr>
          <w:rFonts w:hint="eastAsia" w:ascii="等线" w:hAnsi="等线" w:eastAsia="等线"/>
          <w:sz w:val="22"/>
        </w:rPr>
        <w:t>)</w:t>
      </w:r>
    </w:p>
    <w:p>
      <w:pPr>
        <w:spacing w:beforeLines="0" w:afterLines="0" w:line="324" w:lineRule="auto"/>
        <w:ind w:firstLine="963" w:firstLineChars="300"/>
        <w:rPr>
          <w:rFonts w:hint="eastAsia" w:ascii="黑体" w:hAnsi="黑体" w:eastAsia="黑体"/>
          <w:b/>
          <w:color w:val="000000"/>
          <w:sz w:val="32"/>
          <w:highlight w:val="white"/>
          <w:lang w:val="en-US"/>
        </w:rPr>
        <w:sectPr>
          <w:headerReference r:id="rId3" w:type="default"/>
          <w:footerReference r:id="rId4" w:type="default"/>
          <w:pgSz w:w="12240" w:h="15840"/>
          <w:pgMar w:top="1440" w:right="1800" w:bottom="1440" w:left="1800" w:header="720" w:footer="720" w:gutter="0"/>
          <w:lnNumType w:countBy="0" w:distance="360"/>
          <w:cols w:space="720" w:num="1"/>
          <w:docGrid w:type="lines" w:linePitch="312" w:charSpace="0"/>
        </w:sectPr>
      </w:pPr>
    </w:p>
    <w:p>
      <w:pPr>
        <w:spacing w:beforeLines="0" w:afterLines="0" w:line="324" w:lineRule="auto"/>
        <w:ind w:firstLine="963" w:firstLineChars="300"/>
        <w:rPr>
          <w:rFonts w:hint="eastAsia" w:ascii="黑体" w:hAnsi="黑体" w:eastAsia="黑体"/>
          <w:b/>
          <w:color w:val="000000"/>
          <w:sz w:val="32"/>
          <w:highlight w:val="white"/>
          <w:lang w:val="en-US"/>
        </w:rPr>
      </w:pPr>
      <w:r>
        <w:rPr>
          <w:rFonts w:hint="eastAsia" w:ascii="黑体" w:hAnsi="黑体" w:eastAsia="黑体"/>
          <w:b/>
          <w:color w:val="000000"/>
          <w:sz w:val="32"/>
          <w:highlight w:val="white"/>
          <w:lang w:val="en-US"/>
        </w:rPr>
        <w:t>一、概况</w:t>
      </w:r>
    </w:p>
    <w:p>
      <w:pPr>
        <w:spacing w:beforeLines="0" w:afterLines="0" w:line="324" w:lineRule="auto"/>
        <w:ind w:firstLine="594"/>
        <w:rPr>
          <w:rFonts w:hint="eastAsia" w:ascii="楷体" w:hAnsi="楷体" w:eastAsia="楷体"/>
          <w:b/>
          <w:color w:val="000000"/>
          <w:sz w:val="32"/>
          <w:highlight w:val="white"/>
          <w:lang w:val="en-US"/>
        </w:rPr>
      </w:pPr>
      <w:r>
        <w:rPr>
          <w:rFonts w:hint="eastAsia" w:ascii="楷体" w:hAnsi="楷体" w:eastAsia="楷体"/>
          <w:b/>
          <w:color w:val="000000"/>
          <w:sz w:val="32"/>
          <w:highlight w:val="white"/>
          <w:lang w:val="en-US"/>
        </w:rPr>
        <w:t>（一）单位职责</w:t>
      </w:r>
    </w:p>
    <w:p>
      <w:pPr>
        <w:spacing w:line="560" w:lineRule="exact"/>
        <w:ind w:firstLine="960" w:firstLineChars="3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 xml:space="preserve">1. </w:t>
      </w:r>
      <w:r>
        <w:rPr>
          <w:rFonts w:hint="eastAsia" w:ascii="Times New Roman" w:hAnsi="Times New Roman" w:eastAsia="仿宋_GB2312" w:cs="Times New Roman"/>
          <w:bCs/>
          <w:color w:val="000000"/>
          <w:sz w:val="32"/>
          <w:szCs w:val="32"/>
        </w:rPr>
        <w:t>实施《森林植物检疫条例》、《浙江省植物检疫实施办法》、《浙江省松材线虫病防治条例》、《森林病虫害防治条例》等法律法规；</w:t>
      </w:r>
    </w:p>
    <w:p>
      <w:pPr>
        <w:numPr>
          <w:ilvl w:val="0"/>
          <w:numId w:val="1"/>
        </w:numPr>
        <w:spacing w:line="560" w:lineRule="exact"/>
        <w:ind w:firstLine="960" w:firstLineChars="3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监督指导全市林业有害生物防治、检疫、测报工作，核发森林植物检疫证；</w:t>
      </w:r>
    </w:p>
    <w:p>
      <w:pPr>
        <w:numPr>
          <w:ilvl w:val="0"/>
          <w:numId w:val="1"/>
        </w:numPr>
        <w:spacing w:line="560" w:lineRule="exact"/>
        <w:ind w:firstLine="960" w:firstLineChars="3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检疫技术研究、推广和检疫员管理。</w:t>
      </w:r>
    </w:p>
    <w:p>
      <w:pPr>
        <w:numPr>
          <w:ilvl w:val="0"/>
          <w:numId w:val="1"/>
        </w:numPr>
        <w:spacing w:line="560" w:lineRule="exact"/>
        <w:ind w:firstLine="960" w:firstLineChars="3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根据《浙江省古树名木保护办法》（浙江省人民政府令第256号）、《转发全国绿化委员会关于进一步加强古树名木保护管理意见的通知》（浙绿湿委〔2016〕5号）等要求开展古树名木保护工作，我站承担相关保护职能，指导、检查全市开展古树名木保护工作。</w:t>
      </w:r>
    </w:p>
    <w:p>
      <w:pPr>
        <w:spacing w:beforeLines="0" w:afterLines="0" w:line="324" w:lineRule="auto"/>
        <w:ind w:firstLine="594"/>
        <w:rPr>
          <w:rFonts w:hint="default" w:ascii="Times New Roman" w:hAnsi="Times New Roman" w:eastAsia="Times New Roman"/>
          <w:b/>
          <w:color w:val="000000"/>
          <w:sz w:val="32"/>
          <w:highlight w:val="white"/>
          <w:lang w:val="en-US"/>
        </w:rPr>
      </w:pPr>
      <w:r>
        <w:rPr>
          <w:rFonts w:hint="eastAsia" w:ascii="楷体" w:hAnsi="楷体" w:eastAsia="楷体"/>
          <w:b/>
          <w:color w:val="000000"/>
          <w:sz w:val="32"/>
          <w:highlight w:val="white"/>
          <w:lang w:val="en-US"/>
        </w:rPr>
        <w:t>（二）机构设置</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从预算单位构成看，金华市林业有害生物</w:t>
      </w:r>
      <w:r>
        <w:rPr>
          <w:rFonts w:hint="eastAsia" w:ascii="Times New Roman" w:hAnsi="Times New Roman" w:eastAsia="仿宋_GB2312" w:cs="Times New Roman"/>
          <w:bCs/>
          <w:color w:val="000000"/>
          <w:sz w:val="32"/>
          <w:szCs w:val="32"/>
        </w:rPr>
        <w:t>防治检疫站</w:t>
      </w:r>
      <w:r>
        <w:rPr>
          <w:rFonts w:hint="eastAsia" w:ascii="Times New Roman" w:hAnsi="Times New Roman" w:eastAsia="仿宋_GB2312" w:cs="Times New Roman"/>
          <w:bCs/>
          <w:color w:val="000000"/>
          <w:sz w:val="32"/>
          <w:szCs w:val="32"/>
          <w:lang w:eastAsia="zh-CN"/>
        </w:rPr>
        <w:t>决算</w:t>
      </w:r>
      <w:r>
        <w:rPr>
          <w:rFonts w:ascii="Times New Roman" w:hAnsi="Times New Roman" w:eastAsia="仿宋_GB2312" w:cs="Times New Roman"/>
          <w:bCs/>
          <w:color w:val="000000"/>
          <w:sz w:val="32"/>
          <w:szCs w:val="32"/>
        </w:rPr>
        <w:t>包括</w:t>
      </w:r>
      <w:r>
        <w:rPr>
          <w:rFonts w:hint="eastAsia" w:ascii="Times New Roman" w:hAnsi="Times New Roman" w:eastAsia="仿宋_GB2312" w:cs="Times New Roman"/>
          <w:bCs/>
          <w:color w:val="000000"/>
          <w:sz w:val="32"/>
          <w:szCs w:val="32"/>
        </w:rPr>
        <w:t>本</w:t>
      </w:r>
      <w:r>
        <w:rPr>
          <w:rFonts w:ascii="Times New Roman" w:hAnsi="Times New Roman" w:eastAsia="仿宋_GB2312" w:cs="Times New Roman"/>
          <w:bCs/>
          <w:color w:val="000000"/>
          <w:sz w:val="32"/>
          <w:szCs w:val="32"/>
        </w:rPr>
        <w:t>单位</w:t>
      </w:r>
      <w:r>
        <w:rPr>
          <w:rFonts w:hint="eastAsia" w:ascii="Times New Roman" w:hAnsi="Times New Roman" w:eastAsia="仿宋_GB2312" w:cs="Times New Roman"/>
          <w:bCs/>
          <w:color w:val="000000"/>
          <w:sz w:val="32"/>
          <w:szCs w:val="32"/>
          <w:lang w:eastAsia="zh-CN"/>
        </w:rPr>
        <w:t>决算</w:t>
      </w:r>
      <w:r>
        <w:rPr>
          <w:rFonts w:ascii="Times New Roman" w:hAnsi="Times New Roman" w:eastAsia="仿宋_GB2312" w:cs="Times New Roman"/>
          <w:bCs/>
          <w:color w:val="000000"/>
          <w:sz w:val="32"/>
          <w:szCs w:val="32"/>
        </w:rPr>
        <w:t>。</w:t>
      </w:r>
    </w:p>
    <w:p>
      <w:pPr>
        <w:spacing w:line="560" w:lineRule="exact"/>
        <w:ind w:firstLine="640" w:firstLineChars="200"/>
        <w:rPr>
          <w:rFonts w:ascii="Times New Roman" w:hAnsi="Times New Roman" w:eastAsia="仿宋_GB2312" w:cs="Times New Roman"/>
          <w:bCs/>
          <w:color w:val="000000" w:themeColor="text1"/>
          <w:sz w:val="32"/>
          <w:szCs w:val="32"/>
          <w14:textFill>
            <w14:solidFill>
              <w14:schemeClr w14:val="tx1"/>
            </w14:solidFill>
          </w14:textFill>
        </w:rPr>
      </w:pPr>
      <w:r>
        <w:rPr>
          <w:rFonts w:hint="eastAsia" w:ascii="仿宋" w:hAnsi="仿宋" w:eastAsia="仿宋"/>
          <w:color w:val="000000" w:themeColor="text1"/>
          <w:sz w:val="32"/>
          <w:highlight w:val="white"/>
          <w:lang w:val="en-US"/>
          <w14:textFill>
            <w14:solidFill>
              <w14:schemeClr w14:val="tx1"/>
            </w14:solidFill>
          </w14:textFill>
        </w:rPr>
        <w:t>从预算单位构成看，本单位</w:t>
      </w:r>
      <w:r>
        <w:rPr>
          <w:rFonts w:hint="eastAsia" w:ascii="仿宋" w:hAnsi="仿宋" w:eastAsia="仿宋"/>
          <w:color w:val="000000" w:themeColor="text1"/>
          <w:sz w:val="32"/>
          <w:highlight w:val="white"/>
          <w:lang w:val="en-US" w:eastAsia="zh-CN"/>
          <w14:textFill>
            <w14:solidFill>
              <w14:schemeClr w14:val="tx1"/>
            </w14:solidFill>
          </w14:textFill>
        </w:rPr>
        <w:t>无</w:t>
      </w:r>
      <w:r>
        <w:rPr>
          <w:rFonts w:hint="eastAsia" w:ascii="仿宋" w:hAnsi="仿宋" w:eastAsia="仿宋"/>
          <w:color w:val="000000" w:themeColor="text1"/>
          <w:sz w:val="32"/>
          <w:highlight w:val="white"/>
          <w:lang w:val="en-US"/>
          <w14:textFill>
            <w14:solidFill>
              <w14:schemeClr w14:val="tx1"/>
            </w14:solidFill>
          </w14:textFill>
        </w:rPr>
        <w:t>内设</w:t>
      </w:r>
      <w:r>
        <w:rPr>
          <w:rFonts w:hint="eastAsia" w:ascii="仿宋" w:hAnsi="仿宋" w:eastAsia="仿宋"/>
          <w:color w:val="000000" w:themeColor="text1"/>
          <w:sz w:val="32"/>
          <w:highlight w:val="white"/>
          <w:lang w:val="en-US" w:eastAsia="zh-CN"/>
          <w14:textFill>
            <w14:solidFill>
              <w14:schemeClr w14:val="tx1"/>
            </w14:solidFill>
          </w14:textFill>
        </w:rPr>
        <w:t>机构。</w:t>
      </w:r>
    </w:p>
    <w:p>
      <w:pPr>
        <w:spacing w:beforeLines="0" w:afterLines="0" w:line="324" w:lineRule="auto"/>
        <w:ind w:firstLine="600"/>
        <w:rPr>
          <w:rFonts w:hint="eastAsia" w:ascii="黑体" w:hAnsi="黑体" w:eastAsia="黑体"/>
          <w:b/>
          <w:color w:val="000000"/>
          <w:sz w:val="32"/>
          <w:highlight w:val="white"/>
          <w:lang w:val="en-US"/>
        </w:rPr>
      </w:pPr>
      <w:r>
        <w:rPr>
          <w:rFonts w:hint="eastAsia" w:ascii="黑体" w:hAnsi="黑体" w:eastAsia="黑体"/>
          <w:b/>
          <w:color w:val="000000"/>
          <w:sz w:val="32"/>
          <w:highlight w:val="white"/>
          <w:lang w:val="en-US"/>
        </w:rPr>
        <w:t>二、2020年度部门（单位）决算公开表</w:t>
      </w:r>
    </w:p>
    <w:p>
      <w:pPr>
        <w:spacing w:beforeLines="0" w:afterLines="0" w:line="324" w:lineRule="auto"/>
        <w:ind w:firstLine="594"/>
        <w:rPr>
          <w:rFonts w:hint="default" w:ascii="Times New Roman" w:hAnsi="Times New Roman" w:eastAsia="Times New Roman"/>
          <w:color w:val="000000"/>
          <w:sz w:val="32"/>
          <w:highlight w:val="white"/>
          <w:lang w:val="en-US"/>
        </w:rPr>
      </w:pPr>
      <w:r>
        <w:rPr>
          <w:rFonts w:hint="eastAsia" w:ascii="仿宋" w:hAnsi="仿宋" w:eastAsia="仿宋"/>
          <w:color w:val="000000"/>
          <w:sz w:val="32"/>
          <w:highlight w:val="white"/>
          <w:lang w:val="en-US"/>
        </w:rPr>
        <w:t>详见附表</w:t>
      </w:r>
      <w:r>
        <w:rPr>
          <w:rFonts w:hint="eastAsia" w:ascii="仿宋_GB2312" w:hAnsi="仿宋_GB2312" w:eastAsia="仿宋_GB2312"/>
          <w:color w:val="000000"/>
          <w:sz w:val="32"/>
          <w:highlight w:val="white"/>
          <w:lang w:val="en-US"/>
        </w:rPr>
        <w:t>。</w:t>
      </w:r>
    </w:p>
    <w:p>
      <w:pPr>
        <w:spacing w:beforeLines="0" w:afterLines="0" w:line="324" w:lineRule="auto"/>
        <w:ind w:firstLine="594"/>
        <w:rPr>
          <w:rFonts w:hint="default" w:ascii="Times New Roman" w:hAnsi="Times New Roman" w:eastAsia="Times New Roman"/>
          <w:b/>
          <w:color w:val="000000"/>
          <w:sz w:val="32"/>
          <w:highlight w:val="white"/>
          <w:lang w:val="en-US"/>
        </w:rPr>
      </w:pPr>
      <w:r>
        <w:rPr>
          <w:rFonts w:hint="eastAsia" w:ascii="黑体" w:hAnsi="黑体" w:eastAsia="黑体"/>
          <w:b/>
          <w:color w:val="auto"/>
          <w:sz w:val="32"/>
          <w:highlight w:val="white"/>
          <w:lang w:val="zh-CN"/>
        </w:rPr>
        <w:t>三、</w:t>
      </w:r>
      <w:r>
        <w:rPr>
          <w:rFonts w:hint="eastAsia" w:ascii="黑体" w:hAnsi="黑体" w:eastAsia="黑体"/>
          <w:b/>
          <w:color w:val="000000"/>
          <w:sz w:val="32"/>
          <w:highlight w:val="white"/>
          <w:lang w:val="en-US"/>
        </w:rPr>
        <w:t>2020年度部门（单位）决算情况说明</w:t>
      </w:r>
    </w:p>
    <w:p>
      <w:pPr>
        <w:spacing w:beforeLines="0" w:afterLines="0" w:line="324" w:lineRule="auto"/>
        <w:ind w:firstLine="594"/>
        <w:rPr>
          <w:rFonts w:hint="default" w:ascii="Times New Roman" w:hAnsi="Times New Roman" w:eastAsia="Times New Roman"/>
          <w:b/>
          <w:color w:val="000000"/>
          <w:sz w:val="32"/>
          <w:highlight w:val="white"/>
          <w:lang w:val="en-US"/>
        </w:rPr>
      </w:pPr>
      <w:r>
        <w:rPr>
          <w:rFonts w:hint="eastAsia" w:ascii="楷体" w:hAnsi="楷体" w:eastAsia="楷体"/>
          <w:b/>
          <w:color w:val="000000"/>
          <w:sz w:val="32"/>
          <w:highlight w:val="white"/>
          <w:lang w:val="en-US"/>
        </w:rPr>
        <w:t>（一）收入支出决算总体情况说明</w:t>
      </w:r>
    </w:p>
    <w:p>
      <w:pPr>
        <w:spacing w:beforeLines="0" w:afterLines="0" w:line="324" w:lineRule="auto"/>
        <w:ind w:firstLine="594"/>
        <w:rPr>
          <w:rFonts w:hint="default" w:ascii="Times New Roman" w:hAnsi="Times New Roman" w:eastAsia="Times New Roman"/>
          <w:b/>
          <w:color w:val="000000"/>
          <w:sz w:val="32"/>
          <w:highlight w:val="white"/>
          <w:lang w:val="en-US"/>
        </w:rPr>
      </w:pPr>
      <w:r>
        <w:rPr>
          <w:rFonts w:hint="eastAsia" w:ascii="仿宋" w:hAnsi="仿宋" w:eastAsia="仿宋"/>
          <w:color w:val="000000"/>
          <w:sz w:val="32"/>
          <w:highlight w:val="white"/>
          <w:lang w:val="en-US"/>
        </w:rPr>
        <w:t>2020年度收入总计192.39万元，支出总计192.39万元,与2019年度相比，各减少</w:t>
      </w:r>
      <w:r>
        <w:rPr>
          <w:rFonts w:hint="eastAsia" w:ascii="仿宋" w:hAnsi="仿宋" w:eastAsia="仿宋"/>
          <w:color w:val="000000"/>
          <w:sz w:val="32"/>
          <w:highlight w:val="white"/>
          <w:lang w:val="en-US" w:eastAsia="zh-CN"/>
        </w:rPr>
        <w:t>12.06</w:t>
      </w:r>
      <w:r>
        <w:rPr>
          <w:rFonts w:hint="eastAsia" w:ascii="仿宋" w:hAnsi="仿宋" w:eastAsia="仿宋"/>
          <w:color w:val="000000"/>
          <w:sz w:val="32"/>
          <w:highlight w:val="white"/>
          <w:lang w:val="en-US"/>
        </w:rPr>
        <w:t>万元</w:t>
      </w:r>
      <w:r>
        <w:rPr>
          <w:rFonts w:hint="eastAsia" w:ascii="仿宋" w:hAnsi="仿宋" w:eastAsia="仿宋"/>
          <w:color w:val="000000"/>
          <w:sz w:val="32"/>
          <w:highlight w:val="white"/>
          <w:lang w:val="en-US" w:eastAsia="zh-CN"/>
        </w:rPr>
        <w:t>万元</w:t>
      </w:r>
      <w:r>
        <w:rPr>
          <w:rFonts w:hint="eastAsia" w:ascii="仿宋" w:hAnsi="仿宋" w:eastAsia="仿宋"/>
          <w:color w:val="000000"/>
          <w:sz w:val="32"/>
          <w:highlight w:val="white"/>
          <w:lang w:val="en-US"/>
        </w:rPr>
        <w:t>，下降</w:t>
      </w:r>
      <w:r>
        <w:rPr>
          <w:rFonts w:hint="eastAsia" w:ascii="仿宋" w:hAnsi="仿宋" w:eastAsia="仿宋"/>
          <w:color w:val="000000"/>
          <w:sz w:val="32"/>
          <w:highlight w:val="white"/>
          <w:lang w:val="en-US" w:eastAsia="zh-CN"/>
        </w:rPr>
        <w:t>5.9</w:t>
      </w:r>
      <w:r>
        <w:rPr>
          <w:rFonts w:hint="eastAsia" w:ascii="仿宋" w:hAnsi="仿宋" w:eastAsia="仿宋"/>
          <w:color w:val="000000"/>
          <w:sz w:val="32"/>
          <w:highlight w:val="white"/>
          <w:lang w:val="en-US"/>
        </w:rPr>
        <w:t>%。主要原因是：</w:t>
      </w:r>
      <w:r>
        <w:rPr>
          <w:rFonts w:hint="eastAsia" w:ascii="仿宋" w:hAnsi="仿宋" w:eastAsia="仿宋"/>
          <w:color w:val="000000"/>
          <w:sz w:val="32"/>
          <w:highlight w:val="white"/>
          <w:lang w:val="en-US" w:eastAsia="zh-CN"/>
        </w:rPr>
        <w:t>专项经费支出减少</w:t>
      </w:r>
      <w:r>
        <w:rPr>
          <w:rFonts w:hint="eastAsia" w:ascii="仿宋" w:hAnsi="仿宋" w:eastAsia="仿宋"/>
          <w:color w:val="000000"/>
          <w:sz w:val="32"/>
          <w:highlight w:val="white"/>
          <w:lang w:val="en-US"/>
        </w:rPr>
        <w:t>。</w:t>
      </w:r>
    </w:p>
    <w:p>
      <w:pPr>
        <w:spacing w:beforeLines="0" w:afterLines="0" w:line="324" w:lineRule="auto"/>
        <w:ind w:firstLine="594"/>
        <w:rPr>
          <w:rFonts w:hint="default" w:ascii="Times New Roman" w:hAnsi="Times New Roman" w:eastAsia="Times New Roman"/>
          <w:b/>
          <w:color w:val="000000"/>
          <w:sz w:val="32"/>
          <w:highlight w:val="white"/>
          <w:lang w:val="en-US"/>
        </w:rPr>
      </w:pPr>
      <w:r>
        <w:rPr>
          <w:rFonts w:hint="eastAsia" w:ascii="楷体" w:hAnsi="楷体" w:eastAsia="楷体"/>
          <w:b/>
          <w:color w:val="000000"/>
          <w:sz w:val="32"/>
          <w:highlight w:val="white"/>
          <w:lang w:val="en-US"/>
        </w:rPr>
        <w:t>（二）收入决算情况说明</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本年收入合计192.39万元；包括财政拨款收入192.39万元（其中，一般公共预算192.39万元，政府性基金预算0万元,国有资本经营预算0万元），占收入合计100%；上级补助收入0万元，占收入合计0%；事业收入0万元，占收入合计0%；经营收入0万元，占收入合计0%；附属单位上缴收入0万元，占收入合计0%；其他收入0万元，占收入合计0%。</w:t>
      </w:r>
    </w:p>
    <w:p>
      <w:pPr>
        <w:spacing w:beforeLines="0" w:afterLines="0" w:line="324" w:lineRule="auto"/>
        <w:ind w:firstLine="594"/>
        <w:rPr>
          <w:rFonts w:hint="default" w:ascii="Times New Roman" w:hAnsi="Times New Roman" w:eastAsia="Times New Roman"/>
          <w:b/>
          <w:color w:val="000000"/>
          <w:sz w:val="32"/>
          <w:highlight w:val="white"/>
          <w:lang w:val="en-US"/>
        </w:rPr>
      </w:pPr>
      <w:r>
        <w:rPr>
          <w:rFonts w:hint="eastAsia" w:ascii="楷体" w:hAnsi="楷体" w:eastAsia="楷体"/>
          <w:b/>
          <w:color w:val="000000"/>
          <w:sz w:val="32"/>
          <w:highlight w:val="white"/>
          <w:lang w:val="en-US"/>
        </w:rPr>
        <w:t>（三）支出决算情况说明</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本年支出合计192.39万元，其中基本支出178.63万元，占92.85%；项目支出13.76万元，占7.15%；上缴上级支出</w:t>
      </w:r>
      <w:r>
        <w:rPr>
          <w:rFonts w:hint="eastAsia" w:ascii="仿宋" w:hAnsi="仿宋" w:eastAsia="仿宋"/>
          <w:color w:val="auto"/>
          <w:sz w:val="30"/>
          <w:highlight w:val="white"/>
          <w:lang w:val="zh-CN"/>
        </w:rPr>
        <w:t>0</w:t>
      </w:r>
      <w:r>
        <w:rPr>
          <w:rFonts w:hint="eastAsia" w:ascii="仿宋" w:hAnsi="仿宋" w:eastAsia="仿宋"/>
          <w:color w:val="000000"/>
          <w:sz w:val="32"/>
          <w:highlight w:val="white"/>
          <w:lang w:val="en-US"/>
        </w:rPr>
        <w:t>万元，占0%；经营支出0万元，占0%；对附属单位补助支出</w:t>
      </w:r>
      <w:r>
        <w:rPr>
          <w:rFonts w:hint="eastAsia" w:ascii="仿宋" w:hAnsi="仿宋" w:eastAsia="仿宋"/>
          <w:color w:val="auto"/>
          <w:sz w:val="30"/>
          <w:highlight w:val="white"/>
          <w:lang w:val="zh-CN"/>
        </w:rPr>
        <w:t>0</w:t>
      </w:r>
      <w:r>
        <w:rPr>
          <w:rFonts w:hint="eastAsia" w:ascii="仿宋" w:hAnsi="仿宋" w:eastAsia="仿宋"/>
          <w:color w:val="000000"/>
          <w:sz w:val="32"/>
          <w:highlight w:val="white"/>
          <w:lang w:val="en-US"/>
        </w:rPr>
        <w:t>万元，占0%。</w:t>
      </w:r>
    </w:p>
    <w:p>
      <w:pPr>
        <w:spacing w:beforeLines="0" w:afterLines="0" w:line="324" w:lineRule="auto"/>
        <w:ind w:firstLine="594"/>
        <w:rPr>
          <w:rFonts w:hint="eastAsia" w:ascii="楷体" w:hAnsi="楷体" w:eastAsia="楷体"/>
          <w:b/>
          <w:color w:val="000000"/>
          <w:sz w:val="32"/>
          <w:highlight w:val="white"/>
          <w:lang w:val="en-US"/>
        </w:rPr>
      </w:pPr>
      <w:r>
        <w:rPr>
          <w:rFonts w:hint="eastAsia" w:ascii="楷体" w:hAnsi="楷体" w:eastAsia="楷体"/>
          <w:b/>
          <w:color w:val="000000"/>
          <w:sz w:val="32"/>
          <w:highlight w:val="white"/>
          <w:lang w:val="en-US"/>
        </w:rPr>
        <w:t>（四）财政拨款收入支出决算总体情况说明</w:t>
      </w:r>
    </w:p>
    <w:p>
      <w:pPr>
        <w:spacing w:beforeLines="0" w:afterLines="0" w:line="324" w:lineRule="auto"/>
        <w:ind w:firstLine="594"/>
        <w:rPr>
          <w:rFonts w:hint="eastAsia" w:ascii="仿宋" w:hAnsi="仿宋" w:eastAsia="仿宋"/>
          <w:b/>
          <w:color w:val="000000"/>
          <w:sz w:val="32"/>
          <w:highlight w:val="white"/>
          <w:lang w:val="en-US"/>
        </w:rPr>
      </w:pPr>
      <w:r>
        <w:rPr>
          <w:rFonts w:hint="eastAsia" w:ascii="仿宋" w:hAnsi="仿宋" w:eastAsia="仿宋"/>
          <w:color w:val="000000"/>
          <w:sz w:val="32"/>
          <w:highlight w:val="white"/>
          <w:lang w:val="en-US"/>
        </w:rPr>
        <w:t>2020年度财政拨款收入总计192.39万元，支出总计192.39万元，与2019年相比，各减少</w:t>
      </w:r>
      <w:r>
        <w:rPr>
          <w:rFonts w:hint="eastAsia" w:ascii="仿宋" w:hAnsi="仿宋" w:eastAsia="仿宋"/>
          <w:color w:val="000000"/>
          <w:sz w:val="32"/>
          <w:highlight w:val="white"/>
          <w:lang w:val="en-US" w:eastAsia="zh-CN"/>
        </w:rPr>
        <w:t>10.98</w:t>
      </w:r>
      <w:r>
        <w:rPr>
          <w:rFonts w:hint="eastAsia" w:ascii="仿宋" w:hAnsi="仿宋" w:eastAsia="仿宋"/>
          <w:color w:val="000000"/>
          <w:sz w:val="32"/>
          <w:highlight w:val="white"/>
          <w:lang w:val="en-US"/>
        </w:rPr>
        <w:t>万元</w:t>
      </w:r>
      <w:r>
        <w:rPr>
          <w:rFonts w:hint="eastAsia" w:ascii="仿宋" w:hAnsi="仿宋" w:eastAsia="仿宋"/>
          <w:color w:val="000000"/>
          <w:sz w:val="32"/>
          <w:highlight w:val="white"/>
          <w:lang w:val="en-US" w:eastAsia="zh-CN"/>
        </w:rPr>
        <w:t>万元</w:t>
      </w:r>
      <w:r>
        <w:rPr>
          <w:rFonts w:hint="eastAsia" w:ascii="仿宋" w:hAnsi="仿宋" w:eastAsia="仿宋"/>
          <w:color w:val="000000"/>
          <w:sz w:val="32"/>
          <w:highlight w:val="white"/>
          <w:lang w:val="en-US"/>
        </w:rPr>
        <w:t>，下降</w:t>
      </w:r>
      <w:r>
        <w:rPr>
          <w:rFonts w:hint="eastAsia" w:ascii="仿宋" w:hAnsi="仿宋" w:eastAsia="仿宋"/>
          <w:color w:val="000000"/>
          <w:sz w:val="32"/>
          <w:highlight w:val="white"/>
          <w:lang w:val="en-US" w:eastAsia="zh-CN"/>
        </w:rPr>
        <w:t>5.4</w:t>
      </w:r>
      <w:r>
        <w:rPr>
          <w:rFonts w:hint="eastAsia" w:ascii="仿宋" w:hAnsi="仿宋" w:eastAsia="仿宋"/>
          <w:color w:val="000000"/>
          <w:sz w:val="32"/>
          <w:highlight w:val="white"/>
          <w:lang w:val="en-US"/>
        </w:rPr>
        <w:t>%。主要原因是</w:t>
      </w:r>
      <w:r>
        <w:rPr>
          <w:rFonts w:hint="eastAsia" w:ascii="仿宋" w:hAnsi="仿宋" w:eastAsia="仿宋"/>
          <w:color w:val="auto"/>
          <w:sz w:val="32"/>
          <w:highlight w:val="white"/>
          <w:lang w:val="en-US" w:eastAsia="zh-CN"/>
        </w:rPr>
        <w:t>专项经费支出减少</w:t>
      </w:r>
      <w:r>
        <w:rPr>
          <w:rFonts w:hint="eastAsia" w:ascii="仿宋" w:hAnsi="仿宋" w:eastAsia="仿宋"/>
          <w:color w:val="auto"/>
          <w:sz w:val="32"/>
          <w:highlight w:val="white"/>
          <w:lang w:val="en-US"/>
        </w:rPr>
        <w:t>；</w:t>
      </w:r>
      <w:r>
        <w:rPr>
          <w:rFonts w:hint="eastAsia" w:ascii="仿宋" w:hAnsi="仿宋" w:eastAsia="仿宋"/>
          <w:color w:val="000000"/>
          <w:sz w:val="32"/>
          <w:highlight w:val="white"/>
          <w:lang w:val="en-US"/>
        </w:rPr>
        <w:t>财政拨款支出年初预算数</w:t>
      </w:r>
      <w:r>
        <w:rPr>
          <w:rFonts w:hint="eastAsia" w:ascii="仿宋" w:hAnsi="仿宋" w:eastAsia="仿宋"/>
          <w:color w:val="000000"/>
          <w:sz w:val="32"/>
          <w:highlight w:val="white"/>
          <w:lang w:val="en-US" w:eastAsia="zh-CN"/>
        </w:rPr>
        <w:t>184.89</w:t>
      </w:r>
      <w:r>
        <w:rPr>
          <w:rFonts w:hint="eastAsia" w:ascii="仿宋" w:hAnsi="仿宋" w:eastAsia="仿宋"/>
          <w:color w:val="000000"/>
          <w:sz w:val="32"/>
          <w:highlight w:val="white"/>
          <w:lang w:val="en-US"/>
        </w:rPr>
        <w:t>万元，</w:t>
      </w:r>
      <w:r>
        <w:rPr>
          <w:rFonts w:hint="eastAsia" w:ascii="仿宋" w:hAnsi="仿宋" w:eastAsia="仿宋"/>
          <w:color w:val="auto"/>
          <w:sz w:val="32"/>
          <w:highlight w:val="white"/>
          <w:lang w:val="en-US"/>
        </w:rPr>
        <w:t>完成年初预算的</w:t>
      </w:r>
      <w:r>
        <w:rPr>
          <w:rFonts w:hint="eastAsia" w:ascii="仿宋" w:hAnsi="仿宋" w:eastAsia="仿宋"/>
          <w:color w:val="000000"/>
          <w:sz w:val="32"/>
          <w:highlight w:val="white"/>
          <w:lang w:val="en-US" w:eastAsia="zh-CN"/>
        </w:rPr>
        <w:t>104.06</w:t>
      </w:r>
      <w:r>
        <w:rPr>
          <w:rFonts w:hint="eastAsia" w:ascii="仿宋" w:hAnsi="仿宋" w:eastAsia="仿宋"/>
          <w:color w:val="000000"/>
          <w:sz w:val="32"/>
          <w:highlight w:val="white"/>
          <w:lang w:val="en-US"/>
        </w:rPr>
        <w:t>%</w:t>
      </w:r>
      <w:r>
        <w:rPr>
          <w:rFonts w:hint="eastAsia" w:ascii="仿宋" w:hAnsi="仿宋" w:eastAsia="仿宋"/>
          <w:color w:val="auto"/>
          <w:sz w:val="32"/>
          <w:highlight w:val="white"/>
          <w:lang w:val="en-US"/>
        </w:rPr>
        <w:t>，</w:t>
      </w:r>
      <w:r>
        <w:rPr>
          <w:rFonts w:hint="eastAsia" w:ascii="仿宋" w:hAnsi="仿宋" w:eastAsia="仿宋"/>
          <w:color w:val="000000"/>
          <w:sz w:val="32"/>
          <w:highlight w:val="white"/>
          <w:lang w:val="en-US"/>
        </w:rPr>
        <w:t>主要原因是</w:t>
      </w:r>
      <w:r>
        <w:rPr>
          <w:rFonts w:hint="eastAsia" w:ascii="仿宋" w:hAnsi="仿宋" w:eastAsia="仿宋"/>
          <w:color w:val="000000"/>
          <w:sz w:val="32"/>
          <w:highlight w:val="white"/>
          <w:lang w:val="en-US" w:eastAsia="zh-CN"/>
        </w:rPr>
        <w:t>公积金等人员经费增加</w:t>
      </w:r>
      <w:r>
        <w:rPr>
          <w:rFonts w:hint="eastAsia" w:ascii="仿宋" w:hAnsi="仿宋" w:eastAsia="仿宋"/>
          <w:color w:val="auto"/>
          <w:sz w:val="32"/>
          <w:highlight w:val="white"/>
          <w:lang w:val="en-US"/>
        </w:rPr>
        <w:t>。</w:t>
      </w:r>
    </w:p>
    <w:p>
      <w:pPr>
        <w:spacing w:beforeLines="0" w:afterLines="0" w:line="324" w:lineRule="auto"/>
        <w:ind w:firstLine="594"/>
        <w:rPr>
          <w:rFonts w:hint="default" w:ascii="Times New Roman" w:hAnsi="Times New Roman" w:eastAsia="Times New Roman"/>
          <w:b/>
          <w:color w:val="000000"/>
          <w:sz w:val="32"/>
          <w:highlight w:val="white"/>
          <w:lang w:val="en-US"/>
        </w:rPr>
      </w:pPr>
      <w:r>
        <w:rPr>
          <w:rFonts w:hint="eastAsia" w:ascii="楷体" w:hAnsi="楷体" w:eastAsia="楷体"/>
          <w:b/>
          <w:color w:val="000000"/>
          <w:sz w:val="32"/>
          <w:highlight w:val="white"/>
          <w:lang w:val="en-US"/>
        </w:rPr>
        <w:t>（五）一般公共预算财政拨款支出决算情况说明</w:t>
      </w:r>
    </w:p>
    <w:p>
      <w:pPr>
        <w:spacing w:beforeLines="0" w:afterLines="0" w:line="324" w:lineRule="auto"/>
        <w:ind w:firstLine="606"/>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1.一般公共预算财政拨款支出决算总体情况。</w:t>
      </w:r>
    </w:p>
    <w:p>
      <w:pPr>
        <w:spacing w:beforeLines="0" w:afterLines="0" w:line="324" w:lineRule="auto"/>
        <w:ind w:firstLine="606"/>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2020年度一般公共预算财政拨款支出192.39万元，占本年支出合计的100%。与2019年相比，一般公共预算财政拨款支出减少</w:t>
      </w:r>
      <w:r>
        <w:rPr>
          <w:rFonts w:hint="eastAsia" w:ascii="仿宋" w:hAnsi="仿宋" w:eastAsia="仿宋"/>
          <w:color w:val="000000"/>
          <w:sz w:val="32"/>
          <w:highlight w:val="white"/>
          <w:lang w:val="en-US" w:eastAsia="zh-CN"/>
        </w:rPr>
        <w:t>10.98</w:t>
      </w:r>
      <w:r>
        <w:rPr>
          <w:rFonts w:hint="eastAsia" w:ascii="仿宋" w:hAnsi="仿宋" w:eastAsia="仿宋"/>
          <w:color w:val="000000"/>
          <w:sz w:val="32"/>
          <w:highlight w:val="white"/>
          <w:lang w:val="en-US"/>
        </w:rPr>
        <w:t>万元，下降</w:t>
      </w:r>
      <w:r>
        <w:rPr>
          <w:rFonts w:hint="eastAsia" w:ascii="仿宋" w:hAnsi="仿宋" w:eastAsia="仿宋"/>
          <w:color w:val="000000"/>
          <w:sz w:val="32"/>
          <w:highlight w:val="white"/>
          <w:lang w:val="en-US" w:eastAsia="zh-CN"/>
        </w:rPr>
        <w:t>5.40</w:t>
      </w:r>
      <w:r>
        <w:rPr>
          <w:rFonts w:hint="eastAsia" w:ascii="仿宋" w:hAnsi="仿宋" w:eastAsia="仿宋"/>
          <w:color w:val="000000"/>
          <w:sz w:val="32"/>
          <w:highlight w:val="white"/>
          <w:lang w:val="en-US"/>
        </w:rPr>
        <w:t>%。主要原因是：</w:t>
      </w:r>
      <w:r>
        <w:rPr>
          <w:rFonts w:hint="eastAsia" w:ascii="仿宋" w:hAnsi="仿宋" w:eastAsia="仿宋"/>
          <w:color w:val="000000"/>
          <w:sz w:val="32"/>
          <w:highlight w:val="white"/>
          <w:lang w:val="en-US" w:eastAsia="zh-CN"/>
        </w:rPr>
        <w:t>项目支出减少</w:t>
      </w:r>
      <w:r>
        <w:rPr>
          <w:rFonts w:hint="eastAsia" w:ascii="仿宋" w:hAnsi="仿宋" w:eastAsia="仿宋"/>
          <w:color w:val="000000"/>
          <w:sz w:val="32"/>
          <w:highlight w:val="white"/>
          <w:lang w:val="en-US"/>
        </w:rPr>
        <w:t>。</w:t>
      </w:r>
    </w:p>
    <w:p>
      <w:pPr>
        <w:spacing w:beforeLines="0" w:afterLines="0" w:line="324" w:lineRule="auto"/>
        <w:ind w:firstLine="606"/>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2.一般公共预算财政拨款支出决算结构情况。</w:t>
      </w:r>
    </w:p>
    <w:p>
      <w:pPr>
        <w:spacing w:beforeLines="0" w:afterLines="0" w:line="324" w:lineRule="auto"/>
        <w:ind w:firstLine="606"/>
        <w:rPr>
          <w:rFonts w:hint="eastAsia" w:ascii="仿宋" w:hAnsi="仿宋" w:eastAsia="仿宋"/>
          <w:b/>
          <w:color w:val="000000"/>
          <w:sz w:val="32"/>
          <w:highlight w:val="white"/>
          <w:lang w:val="en-US"/>
        </w:rPr>
      </w:pPr>
      <w:r>
        <w:rPr>
          <w:rFonts w:hint="eastAsia" w:ascii="仿宋" w:hAnsi="仿宋" w:eastAsia="仿宋"/>
          <w:color w:val="000000"/>
          <w:sz w:val="32"/>
          <w:highlight w:val="white"/>
          <w:lang w:val="en-US"/>
        </w:rPr>
        <w:t>2020年度一般公共预算财政拨款支出192.39万元，主要用于以下方面：一般公共服务（类）支出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万元，占0%；国防（类）支出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万元,占0%；公共安全（类）支出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万元,占0%；教育（类）支出</w:t>
      </w:r>
      <w:r>
        <w:rPr>
          <w:rFonts w:hint="eastAsia" w:ascii="仿宋" w:hAnsi="仿宋" w:eastAsia="仿宋"/>
          <w:color w:val="auto"/>
          <w:sz w:val="32"/>
          <w:highlight w:val="white"/>
          <w:lang w:val="zh-CN"/>
        </w:rPr>
        <w:t>0.36</w:t>
      </w:r>
      <w:r>
        <w:rPr>
          <w:rFonts w:hint="eastAsia" w:ascii="仿宋" w:hAnsi="仿宋" w:eastAsia="仿宋"/>
          <w:color w:val="000000"/>
          <w:sz w:val="32"/>
          <w:highlight w:val="white"/>
          <w:lang w:val="en-US"/>
        </w:rPr>
        <w:t>万元,占0.19%；科学技术（类）支出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万元,占0%；文化旅游体育与传媒（类）支出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万元,占0%；社会保障和就业（类）支出</w:t>
      </w:r>
      <w:r>
        <w:rPr>
          <w:rFonts w:hint="eastAsia" w:ascii="仿宋" w:hAnsi="仿宋" w:eastAsia="仿宋"/>
          <w:color w:val="auto"/>
          <w:sz w:val="32"/>
          <w:highlight w:val="white"/>
          <w:lang w:val="zh-CN"/>
        </w:rPr>
        <w:t>44.75</w:t>
      </w:r>
      <w:r>
        <w:rPr>
          <w:rFonts w:hint="eastAsia" w:ascii="仿宋" w:hAnsi="仿宋" w:eastAsia="仿宋"/>
          <w:color w:val="000000"/>
          <w:sz w:val="32"/>
          <w:highlight w:val="white"/>
          <w:lang w:val="en-US"/>
        </w:rPr>
        <w:t>万元,占23.26%；卫生健康（类）支出</w:t>
      </w:r>
      <w:r>
        <w:rPr>
          <w:rFonts w:hint="eastAsia" w:ascii="仿宋" w:hAnsi="仿宋" w:eastAsia="仿宋"/>
          <w:color w:val="auto"/>
          <w:sz w:val="32"/>
          <w:highlight w:val="white"/>
          <w:lang w:val="zh-CN"/>
        </w:rPr>
        <w:t>4.23</w:t>
      </w:r>
      <w:r>
        <w:rPr>
          <w:rFonts w:hint="eastAsia" w:ascii="仿宋" w:hAnsi="仿宋" w:eastAsia="仿宋"/>
          <w:color w:val="000000"/>
          <w:sz w:val="32"/>
          <w:highlight w:val="white"/>
          <w:lang w:val="en-US"/>
        </w:rPr>
        <w:t>万元,占2.2%；节能环保（类）支出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万元,占0%；城乡社区（类）支出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万元,占0%；农林水（类）支出</w:t>
      </w:r>
      <w:r>
        <w:rPr>
          <w:rFonts w:hint="eastAsia" w:ascii="仿宋" w:hAnsi="仿宋" w:eastAsia="仿宋"/>
          <w:color w:val="auto"/>
          <w:sz w:val="32"/>
          <w:highlight w:val="white"/>
          <w:lang w:val="zh-CN"/>
        </w:rPr>
        <w:t>130.64</w:t>
      </w:r>
      <w:r>
        <w:rPr>
          <w:rFonts w:hint="eastAsia" w:ascii="仿宋" w:hAnsi="仿宋" w:eastAsia="仿宋"/>
          <w:color w:val="000000"/>
          <w:sz w:val="32"/>
          <w:highlight w:val="white"/>
          <w:lang w:val="en-US"/>
        </w:rPr>
        <w:t>万元,占67.9%；交通运输（类）支出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万元,占0%；资源勘探工业信息等（类）支出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万元,占0%；商业服务业等（类）支出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万元,占0%；金融（类）支出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万元,占0%；援助其他地区（类）支出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万元,占0%；自然资源海洋气象等（类）支出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万元,占0%；住房保障（类）支出</w:t>
      </w:r>
      <w:r>
        <w:rPr>
          <w:rFonts w:hint="eastAsia" w:ascii="仿宋" w:hAnsi="仿宋" w:eastAsia="仿宋"/>
          <w:color w:val="auto"/>
          <w:sz w:val="32"/>
          <w:highlight w:val="white"/>
          <w:lang w:val="zh-CN"/>
        </w:rPr>
        <w:t>12.41</w:t>
      </w:r>
      <w:r>
        <w:rPr>
          <w:rFonts w:hint="eastAsia" w:ascii="仿宋" w:hAnsi="仿宋" w:eastAsia="仿宋"/>
          <w:color w:val="000000"/>
          <w:sz w:val="32"/>
          <w:highlight w:val="white"/>
          <w:lang w:val="en-US"/>
        </w:rPr>
        <w:t>万元,占6.45%；粮油物资储备（类）支出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万元,占0%；灾害防治及应急管理（类）支出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万元,占0%；其他（类）支出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万元,占0%；债务还本（类）支出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万元,占0%；债务付息（类）支出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w:t>
      </w:r>
    </w:p>
    <w:p>
      <w:pPr>
        <w:spacing w:beforeLines="0" w:afterLines="0" w:line="324" w:lineRule="auto"/>
        <w:ind w:firstLine="606"/>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3.一般公共预算财政拨款支出决算具体情况。</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auto"/>
          <w:sz w:val="32"/>
          <w:highlight w:val="white"/>
          <w:lang w:val="en-US"/>
        </w:rPr>
        <w:t>2020年度</w:t>
      </w:r>
      <w:r>
        <w:rPr>
          <w:rFonts w:hint="eastAsia" w:ascii="仿宋" w:hAnsi="仿宋" w:eastAsia="仿宋"/>
          <w:color w:val="000000"/>
          <w:sz w:val="32"/>
          <w:highlight w:val="white"/>
          <w:lang w:val="en-US"/>
        </w:rPr>
        <w:t>一般公共预算</w:t>
      </w:r>
      <w:r>
        <w:rPr>
          <w:rFonts w:hint="eastAsia" w:ascii="仿宋" w:hAnsi="仿宋" w:eastAsia="仿宋"/>
          <w:color w:val="auto"/>
          <w:sz w:val="32"/>
          <w:highlight w:val="white"/>
          <w:lang w:val="en-US"/>
        </w:rPr>
        <w:t>财政拨款支出年初预算为</w:t>
      </w:r>
      <w:r>
        <w:rPr>
          <w:rFonts w:hint="eastAsia" w:ascii="仿宋" w:hAnsi="仿宋" w:eastAsia="仿宋"/>
          <w:color w:val="000000"/>
          <w:sz w:val="32"/>
          <w:highlight w:val="white"/>
          <w:lang w:val="en-US" w:eastAsia="zh-CN"/>
        </w:rPr>
        <w:t>184.89</w:t>
      </w:r>
      <w:r>
        <w:rPr>
          <w:rFonts w:hint="eastAsia" w:ascii="仿宋" w:hAnsi="仿宋" w:eastAsia="仿宋"/>
          <w:color w:val="auto"/>
          <w:sz w:val="32"/>
          <w:highlight w:val="white"/>
          <w:lang w:val="en-US"/>
        </w:rPr>
        <w:t>万元，支出决算为</w:t>
      </w:r>
      <w:r>
        <w:rPr>
          <w:rFonts w:hint="eastAsia" w:ascii="仿宋" w:hAnsi="仿宋" w:eastAsia="仿宋"/>
          <w:color w:val="000000"/>
          <w:sz w:val="32"/>
          <w:highlight w:val="white"/>
          <w:lang w:val="en-US"/>
        </w:rPr>
        <w:t>192.39万元</w:t>
      </w:r>
      <w:r>
        <w:rPr>
          <w:rFonts w:hint="eastAsia" w:ascii="仿宋" w:hAnsi="仿宋" w:eastAsia="仿宋"/>
          <w:color w:val="auto"/>
          <w:sz w:val="32"/>
          <w:highlight w:val="white"/>
          <w:lang w:val="en-US"/>
        </w:rPr>
        <w:t>,完成年初预算的</w:t>
      </w:r>
      <w:r>
        <w:rPr>
          <w:rFonts w:hint="eastAsia" w:ascii="仿宋" w:hAnsi="仿宋" w:eastAsia="仿宋"/>
          <w:color w:val="000000"/>
          <w:sz w:val="32"/>
          <w:highlight w:val="white"/>
          <w:lang w:val="en-US" w:eastAsia="zh-CN"/>
        </w:rPr>
        <w:t>100</w:t>
      </w:r>
      <w:r>
        <w:rPr>
          <w:rFonts w:hint="eastAsia" w:ascii="仿宋" w:hAnsi="仿宋" w:eastAsia="仿宋"/>
          <w:color w:val="000000"/>
          <w:sz w:val="32"/>
          <w:highlight w:val="white"/>
          <w:lang w:val="en-US"/>
        </w:rPr>
        <w:t>%</w:t>
      </w:r>
      <w:r>
        <w:rPr>
          <w:rFonts w:hint="eastAsia" w:ascii="仿宋" w:hAnsi="仿宋" w:eastAsia="仿宋"/>
          <w:color w:val="auto"/>
          <w:sz w:val="32"/>
          <w:highlight w:val="white"/>
          <w:lang w:val="en-US"/>
        </w:rPr>
        <w:t>，主要原因是</w:t>
      </w:r>
      <w:r>
        <w:rPr>
          <w:rFonts w:hint="eastAsia" w:ascii="仿宋" w:hAnsi="仿宋" w:eastAsia="仿宋"/>
          <w:color w:val="auto"/>
          <w:sz w:val="32"/>
          <w:highlight w:val="white"/>
          <w:lang w:val="en-US" w:eastAsia="zh-CN"/>
        </w:rPr>
        <w:t>公积金基数提高等</w:t>
      </w:r>
      <w:r>
        <w:rPr>
          <w:rFonts w:hint="eastAsia" w:ascii="仿宋" w:hAnsi="仿宋" w:eastAsia="仿宋"/>
          <w:color w:val="auto"/>
          <w:sz w:val="32"/>
          <w:highlight w:val="white"/>
          <w:lang w:val="en-US"/>
        </w:rPr>
        <w:t>。</w:t>
      </w:r>
      <w:r>
        <w:rPr>
          <w:rFonts w:hint="eastAsia" w:ascii="仿宋" w:hAnsi="仿宋" w:eastAsia="仿宋"/>
          <w:color w:val="000000"/>
          <w:sz w:val="32"/>
          <w:highlight w:val="white"/>
          <w:lang w:val="en-US"/>
        </w:rPr>
        <w:t>其中：</w:t>
      </w:r>
    </w:p>
    <w:p>
      <w:pPr>
        <w:spacing w:beforeLines="0" w:afterLines="0" w:line="324" w:lineRule="auto"/>
        <w:ind w:firstLine="594"/>
        <w:rPr>
          <w:rFonts w:hint="eastAsia" w:ascii="仿宋" w:hAnsi="仿宋" w:eastAsia="仿宋"/>
          <w:color w:val="000000"/>
          <w:sz w:val="32"/>
          <w:highlight w:val="white"/>
          <w:lang w:val="en-US"/>
        </w:rPr>
      </w:pPr>
      <w:r>
        <w:rPr>
          <w:rFonts w:hint="eastAsia" w:ascii="Times New Roman" w:hAnsi="Times New Roman" w:eastAsia="仿宋_GB2312" w:cs="Times New Roman"/>
          <w:bCs/>
          <w:color w:val="000000"/>
          <w:sz w:val="32"/>
          <w:szCs w:val="32"/>
        </w:rPr>
        <w:t>教育支出（类）进修及培训（款）培训支出（项）</w:t>
      </w:r>
      <w:r>
        <w:rPr>
          <w:rFonts w:hint="eastAsia" w:ascii="Times New Roman" w:hAnsi="Times New Roman" w:eastAsia="仿宋_GB2312" w:cs="Times New Roman"/>
          <w:bCs/>
          <w:color w:val="000000"/>
          <w:sz w:val="32"/>
          <w:szCs w:val="32"/>
          <w:lang w:eastAsia="zh-CN"/>
        </w:rPr>
        <w:t>。</w:t>
      </w:r>
      <w:r>
        <w:rPr>
          <w:rFonts w:hint="eastAsia" w:ascii="仿宋" w:hAnsi="仿宋" w:eastAsia="仿宋"/>
          <w:color w:val="000000"/>
          <w:sz w:val="32"/>
          <w:highlight w:val="white"/>
          <w:lang w:val="en-US"/>
        </w:rPr>
        <w:t>年初预算为</w:t>
      </w:r>
      <w:r>
        <w:rPr>
          <w:rFonts w:hint="eastAsia" w:ascii="仿宋" w:hAnsi="仿宋" w:eastAsia="仿宋"/>
          <w:color w:val="000000"/>
          <w:sz w:val="32"/>
          <w:highlight w:val="white"/>
          <w:lang w:val="en-US" w:eastAsia="zh-CN"/>
        </w:rPr>
        <w:t>1.54</w:t>
      </w:r>
      <w:r>
        <w:rPr>
          <w:rFonts w:hint="eastAsia" w:ascii="Times New Roman" w:hAnsi="Times New Roman" w:eastAsia="仿宋_GB2312" w:cs="Times New Roman"/>
          <w:bCs/>
          <w:color w:val="000000"/>
          <w:sz w:val="32"/>
          <w:szCs w:val="32"/>
        </w:rPr>
        <w:t>万元，</w:t>
      </w:r>
      <w:r>
        <w:rPr>
          <w:rFonts w:hint="eastAsia" w:ascii="仿宋" w:hAnsi="仿宋" w:eastAsia="仿宋"/>
          <w:color w:val="000000"/>
          <w:sz w:val="32"/>
          <w:highlight w:val="white"/>
          <w:lang w:val="en-US"/>
        </w:rPr>
        <w:t>支出决算为</w:t>
      </w:r>
      <w:r>
        <w:rPr>
          <w:rFonts w:hint="eastAsia" w:ascii="仿宋" w:hAnsi="仿宋" w:eastAsia="仿宋"/>
          <w:color w:val="000000"/>
          <w:sz w:val="32"/>
          <w:highlight w:val="white"/>
          <w:lang w:val="en-US" w:eastAsia="zh-CN"/>
        </w:rPr>
        <w:t>0.36</w:t>
      </w:r>
      <w:r>
        <w:rPr>
          <w:rFonts w:hint="eastAsia" w:ascii="仿宋" w:hAnsi="仿宋" w:eastAsia="仿宋"/>
          <w:color w:val="000000"/>
          <w:sz w:val="32"/>
          <w:highlight w:val="white"/>
          <w:lang w:val="en-US"/>
        </w:rPr>
        <w:t>万元，完成年初预算的</w:t>
      </w:r>
      <w:r>
        <w:rPr>
          <w:rFonts w:hint="eastAsia" w:ascii="仿宋" w:hAnsi="仿宋" w:eastAsia="仿宋"/>
          <w:color w:val="000000"/>
          <w:sz w:val="32"/>
          <w:highlight w:val="white"/>
          <w:lang w:val="en-US" w:eastAsia="zh-CN"/>
        </w:rPr>
        <w:t>23.378</w:t>
      </w:r>
      <w:r>
        <w:rPr>
          <w:rFonts w:hint="eastAsia" w:ascii="仿宋" w:hAnsi="仿宋" w:eastAsia="仿宋"/>
          <w:color w:val="000000"/>
          <w:sz w:val="32"/>
          <w:highlight w:val="white"/>
          <w:lang w:val="en-US"/>
        </w:rPr>
        <w:t>%，决算数小于预算数的主要原因</w:t>
      </w:r>
      <w:r>
        <w:rPr>
          <w:rFonts w:hint="eastAsia" w:ascii="仿宋" w:hAnsi="仿宋" w:eastAsia="仿宋"/>
          <w:color w:val="000000"/>
          <w:sz w:val="32"/>
          <w:highlight w:val="white"/>
          <w:lang w:val="en-US" w:eastAsia="zh-CN"/>
        </w:rPr>
        <w:t>受新冠疫情影响培训减少</w:t>
      </w:r>
      <w:r>
        <w:rPr>
          <w:rFonts w:hint="eastAsia" w:ascii="仿宋" w:hAnsi="仿宋" w:eastAsia="仿宋"/>
          <w:color w:val="000000"/>
          <w:sz w:val="32"/>
          <w:highlight w:val="white"/>
          <w:lang w:val="en-US"/>
        </w:rPr>
        <w:t>。</w:t>
      </w:r>
    </w:p>
    <w:p>
      <w:pPr>
        <w:spacing w:beforeLines="0" w:afterLines="0" w:line="324" w:lineRule="auto"/>
        <w:ind w:firstLine="594"/>
        <w:rPr>
          <w:rFonts w:hint="eastAsia" w:ascii="仿宋" w:hAnsi="仿宋" w:eastAsia="仿宋"/>
          <w:color w:val="000000"/>
          <w:sz w:val="32"/>
          <w:highlight w:val="white"/>
          <w:lang w:val="en-US"/>
        </w:rPr>
      </w:pPr>
      <w:r>
        <w:rPr>
          <w:rFonts w:hint="eastAsia" w:ascii="Times New Roman" w:hAnsi="Times New Roman" w:eastAsia="仿宋_GB2312" w:cs="Times New Roman"/>
          <w:bCs/>
          <w:color w:val="000000"/>
          <w:sz w:val="32"/>
          <w:szCs w:val="32"/>
        </w:rPr>
        <w:t>社会保障和就业支出（类）行政事业单位养老支出（款）行政单位离退休（项）</w:t>
      </w:r>
      <w:r>
        <w:rPr>
          <w:rFonts w:hint="eastAsia" w:ascii="Times New Roman" w:hAnsi="Times New Roman" w:eastAsia="仿宋_GB2312" w:cs="Times New Roman"/>
          <w:bCs/>
          <w:color w:val="000000"/>
          <w:sz w:val="32"/>
          <w:szCs w:val="32"/>
          <w:lang w:eastAsia="zh-CN"/>
        </w:rPr>
        <w:t>。</w:t>
      </w:r>
      <w:r>
        <w:rPr>
          <w:rFonts w:hint="eastAsia" w:ascii="仿宋" w:hAnsi="仿宋" w:eastAsia="仿宋"/>
          <w:color w:val="000000"/>
          <w:sz w:val="32"/>
          <w:highlight w:val="white"/>
          <w:lang w:val="en-US"/>
        </w:rPr>
        <w:t>年初预算为</w:t>
      </w:r>
      <w:r>
        <w:rPr>
          <w:rFonts w:hint="eastAsia" w:ascii="仿宋" w:hAnsi="仿宋" w:eastAsia="仿宋"/>
          <w:color w:val="000000"/>
          <w:sz w:val="32"/>
          <w:highlight w:val="white"/>
          <w:lang w:val="en-US" w:eastAsia="zh-CN"/>
        </w:rPr>
        <w:t>33.53</w:t>
      </w:r>
      <w:r>
        <w:rPr>
          <w:rFonts w:hint="eastAsia" w:ascii="仿宋" w:hAnsi="仿宋" w:eastAsia="仿宋"/>
          <w:color w:val="000000"/>
          <w:sz w:val="32"/>
          <w:highlight w:val="white"/>
          <w:lang w:val="en-US"/>
        </w:rPr>
        <w:t>万元，支出决算为</w:t>
      </w:r>
      <w:r>
        <w:rPr>
          <w:rFonts w:hint="eastAsia" w:ascii="仿宋" w:hAnsi="仿宋" w:eastAsia="仿宋"/>
          <w:color w:val="000000"/>
          <w:sz w:val="32"/>
          <w:highlight w:val="white"/>
          <w:lang w:val="en-US" w:eastAsia="zh-CN"/>
        </w:rPr>
        <w:t>34.03</w:t>
      </w:r>
      <w:r>
        <w:rPr>
          <w:rFonts w:hint="eastAsia" w:ascii="仿宋" w:hAnsi="仿宋" w:eastAsia="仿宋"/>
          <w:color w:val="000000"/>
          <w:sz w:val="32"/>
          <w:highlight w:val="white"/>
          <w:lang w:val="en-US"/>
        </w:rPr>
        <w:t>万元，完成年初预算的</w:t>
      </w:r>
      <w:r>
        <w:rPr>
          <w:rFonts w:hint="eastAsia" w:ascii="仿宋" w:hAnsi="仿宋" w:eastAsia="仿宋"/>
          <w:color w:val="000000"/>
          <w:sz w:val="32"/>
          <w:highlight w:val="white"/>
          <w:lang w:val="en-US" w:eastAsia="zh-CN"/>
        </w:rPr>
        <w:t>100</w:t>
      </w:r>
      <w:r>
        <w:rPr>
          <w:rFonts w:hint="eastAsia" w:ascii="仿宋" w:hAnsi="仿宋" w:eastAsia="仿宋"/>
          <w:color w:val="000000"/>
          <w:sz w:val="32"/>
          <w:highlight w:val="white"/>
          <w:lang w:val="en-US"/>
        </w:rPr>
        <w:t>%，决算数大于预算数的主要原因</w:t>
      </w:r>
      <w:r>
        <w:rPr>
          <w:rFonts w:hint="eastAsia" w:ascii="仿宋" w:hAnsi="仿宋" w:eastAsia="仿宋"/>
          <w:color w:val="000000"/>
          <w:sz w:val="32"/>
          <w:highlight w:val="white"/>
          <w:lang w:val="en-US" w:eastAsia="zh-CN"/>
        </w:rPr>
        <w:t>离退休人员支出增加</w:t>
      </w:r>
      <w:r>
        <w:rPr>
          <w:rFonts w:hint="eastAsia" w:ascii="仿宋" w:hAnsi="仿宋" w:eastAsia="仿宋"/>
          <w:color w:val="000000"/>
          <w:sz w:val="32"/>
          <w:highlight w:val="white"/>
          <w:lang w:val="en-US"/>
        </w:rPr>
        <w:t>。</w:t>
      </w:r>
    </w:p>
    <w:p>
      <w:pPr>
        <w:spacing w:beforeLines="0" w:afterLines="0" w:line="324" w:lineRule="auto"/>
        <w:ind w:firstLine="594"/>
        <w:rPr>
          <w:rFonts w:hint="eastAsia" w:ascii="仿宋" w:hAnsi="仿宋" w:eastAsia="仿宋"/>
          <w:color w:val="000000" w:themeColor="text1"/>
          <w:sz w:val="32"/>
          <w:highlight w:val="white"/>
          <w:lang w:val="en-US"/>
          <w14:textFill>
            <w14:solidFill>
              <w14:schemeClr w14:val="tx1"/>
            </w14:solidFill>
          </w14:textFill>
        </w:rPr>
      </w:pPr>
      <w:r>
        <w:rPr>
          <w:rFonts w:hint="eastAsia" w:ascii="Times New Roman" w:hAnsi="Times New Roman" w:eastAsia="仿宋_GB2312" w:cs="Times New Roman"/>
          <w:bCs/>
          <w:color w:val="000000"/>
          <w:sz w:val="32"/>
          <w:szCs w:val="32"/>
        </w:rPr>
        <w:t>社会保障和就业支出（类）行政事业单位养老支出（款）机关事业单位基本养老保险缴费支出（项）</w:t>
      </w:r>
      <w:r>
        <w:rPr>
          <w:rFonts w:hint="eastAsia" w:ascii="Times New Roman" w:hAnsi="Times New Roman" w:eastAsia="仿宋_GB2312" w:cs="Times New Roman"/>
          <w:bCs/>
          <w:color w:val="000000"/>
          <w:sz w:val="32"/>
          <w:szCs w:val="32"/>
          <w:lang w:eastAsia="zh-CN"/>
        </w:rPr>
        <w:t>。</w:t>
      </w:r>
      <w:r>
        <w:rPr>
          <w:rFonts w:hint="eastAsia" w:ascii="仿宋" w:hAnsi="仿宋" w:eastAsia="仿宋"/>
          <w:color w:val="000000"/>
          <w:sz w:val="32"/>
          <w:highlight w:val="white"/>
          <w:lang w:val="en-US"/>
        </w:rPr>
        <w:t>年初预算为</w:t>
      </w:r>
      <w:r>
        <w:rPr>
          <w:rFonts w:hint="eastAsia" w:ascii="仿宋" w:hAnsi="仿宋" w:eastAsia="仿宋"/>
          <w:color w:val="000000"/>
          <w:sz w:val="32"/>
          <w:highlight w:val="white"/>
          <w:lang w:val="en-US" w:eastAsia="zh-CN"/>
        </w:rPr>
        <w:t>7.15</w:t>
      </w:r>
      <w:r>
        <w:rPr>
          <w:rFonts w:hint="eastAsia" w:ascii="仿宋" w:hAnsi="仿宋" w:eastAsia="仿宋"/>
          <w:color w:val="000000"/>
          <w:sz w:val="32"/>
          <w:highlight w:val="white"/>
          <w:lang w:val="en-US"/>
        </w:rPr>
        <w:t>万元，支出决算为</w:t>
      </w:r>
      <w:r>
        <w:rPr>
          <w:rFonts w:hint="eastAsia" w:ascii="仿宋" w:hAnsi="仿宋" w:eastAsia="仿宋"/>
          <w:color w:val="000000"/>
          <w:sz w:val="32"/>
          <w:highlight w:val="white"/>
          <w:lang w:val="en-US" w:eastAsia="zh-CN"/>
        </w:rPr>
        <w:t>7.15</w:t>
      </w:r>
      <w:r>
        <w:rPr>
          <w:rFonts w:hint="eastAsia" w:ascii="仿宋" w:hAnsi="仿宋" w:eastAsia="仿宋"/>
          <w:color w:val="000000"/>
          <w:sz w:val="32"/>
          <w:highlight w:val="white"/>
          <w:lang w:val="en-US"/>
        </w:rPr>
        <w:t>万元，完成年初预算的</w:t>
      </w:r>
      <w:r>
        <w:rPr>
          <w:rFonts w:hint="eastAsia" w:ascii="仿宋" w:hAnsi="仿宋" w:eastAsia="仿宋"/>
          <w:color w:val="000000"/>
          <w:sz w:val="32"/>
          <w:highlight w:val="white"/>
          <w:lang w:val="en-US" w:eastAsia="zh-CN"/>
        </w:rPr>
        <w:t>100</w:t>
      </w:r>
      <w:r>
        <w:rPr>
          <w:rFonts w:hint="eastAsia" w:ascii="仿宋" w:hAnsi="仿宋" w:eastAsia="仿宋"/>
          <w:color w:val="000000"/>
          <w:sz w:val="32"/>
          <w:highlight w:val="white"/>
          <w:lang w:val="en-US"/>
        </w:rPr>
        <w:t>%，</w:t>
      </w:r>
      <w:r>
        <w:rPr>
          <w:rFonts w:hint="eastAsia" w:ascii="仿宋" w:hAnsi="仿宋" w:eastAsia="仿宋"/>
          <w:color w:val="000000" w:themeColor="text1"/>
          <w:sz w:val="32"/>
          <w:highlight w:val="white"/>
          <w:lang w:val="en-US"/>
          <w14:textFill>
            <w14:solidFill>
              <w14:schemeClr w14:val="tx1"/>
            </w14:solidFill>
          </w14:textFill>
        </w:rPr>
        <w:t>决算数</w:t>
      </w:r>
      <w:r>
        <w:rPr>
          <w:rFonts w:hint="eastAsia" w:ascii="仿宋" w:hAnsi="仿宋" w:eastAsia="仿宋"/>
          <w:color w:val="000000" w:themeColor="text1"/>
          <w:sz w:val="32"/>
          <w:highlight w:val="white"/>
          <w:lang w:val="en-US" w:eastAsia="zh-CN"/>
          <w14:textFill>
            <w14:solidFill>
              <w14:schemeClr w14:val="tx1"/>
            </w14:solidFill>
          </w14:textFill>
        </w:rPr>
        <w:t>等于</w:t>
      </w:r>
      <w:r>
        <w:rPr>
          <w:rFonts w:hint="eastAsia" w:ascii="仿宋" w:hAnsi="仿宋" w:eastAsia="仿宋"/>
          <w:color w:val="000000" w:themeColor="text1"/>
          <w:sz w:val="32"/>
          <w:highlight w:val="white"/>
          <w:lang w:val="en-US"/>
          <w14:textFill>
            <w14:solidFill>
              <w14:schemeClr w14:val="tx1"/>
            </w14:solidFill>
          </w14:textFill>
        </w:rPr>
        <w:t>预算数</w:t>
      </w:r>
      <w:r>
        <w:rPr>
          <w:rFonts w:hint="eastAsia" w:ascii="仿宋" w:hAnsi="仿宋" w:eastAsia="仿宋"/>
          <w:color w:val="000000" w:themeColor="text1"/>
          <w:sz w:val="32"/>
          <w:highlight w:val="white"/>
          <w:lang w:val="en-US" w:eastAsia="zh-CN"/>
          <w14:textFill>
            <w14:solidFill>
              <w14:schemeClr w14:val="tx1"/>
            </w14:solidFill>
          </w14:textFill>
        </w:rPr>
        <w:t>的原因是严格按照年初安排的预算支出</w:t>
      </w:r>
      <w:r>
        <w:rPr>
          <w:rFonts w:hint="eastAsia" w:ascii="仿宋" w:hAnsi="仿宋" w:eastAsia="仿宋"/>
          <w:color w:val="000000" w:themeColor="text1"/>
          <w:sz w:val="32"/>
          <w:highlight w:val="white"/>
          <w:lang w:val="en-US"/>
          <w14:textFill>
            <w14:solidFill>
              <w14:schemeClr w14:val="tx1"/>
            </w14:solidFill>
          </w14:textFill>
        </w:rPr>
        <w:t>。</w:t>
      </w:r>
    </w:p>
    <w:p>
      <w:pPr>
        <w:spacing w:beforeLines="0" w:afterLines="0" w:line="324" w:lineRule="auto"/>
        <w:ind w:firstLine="594"/>
        <w:rPr>
          <w:rFonts w:hint="eastAsia" w:ascii="仿宋" w:hAnsi="仿宋" w:eastAsia="仿宋"/>
          <w:color w:val="000000"/>
          <w:sz w:val="32"/>
          <w:highlight w:val="white"/>
          <w:lang w:val="en-US"/>
        </w:rPr>
      </w:pPr>
      <w:r>
        <w:rPr>
          <w:rFonts w:hint="eastAsia" w:ascii="Times New Roman" w:hAnsi="Times New Roman" w:eastAsia="仿宋_GB2312" w:cs="Times New Roman"/>
          <w:bCs/>
          <w:color w:val="000000"/>
          <w:sz w:val="32"/>
          <w:szCs w:val="32"/>
        </w:rPr>
        <w:t>社会保障和就业支出（类）行政事业单位养老支出（款）机关事业单位职业年金缴费支出（项）</w:t>
      </w:r>
      <w:r>
        <w:rPr>
          <w:rFonts w:hint="eastAsia" w:ascii="Times New Roman" w:hAnsi="Times New Roman" w:eastAsia="仿宋_GB2312" w:cs="Times New Roman"/>
          <w:bCs/>
          <w:color w:val="000000"/>
          <w:sz w:val="32"/>
          <w:szCs w:val="32"/>
          <w:lang w:eastAsia="zh-CN"/>
        </w:rPr>
        <w:t>。</w:t>
      </w:r>
      <w:r>
        <w:rPr>
          <w:rFonts w:hint="eastAsia" w:ascii="仿宋" w:hAnsi="仿宋" w:eastAsia="仿宋"/>
          <w:color w:val="000000"/>
          <w:sz w:val="32"/>
          <w:highlight w:val="white"/>
          <w:lang w:val="en-US"/>
        </w:rPr>
        <w:t>年初预算为</w:t>
      </w:r>
      <w:r>
        <w:rPr>
          <w:rFonts w:hint="eastAsia" w:ascii="仿宋" w:hAnsi="仿宋" w:eastAsia="仿宋"/>
          <w:color w:val="000000"/>
          <w:sz w:val="32"/>
          <w:highlight w:val="white"/>
          <w:lang w:val="en-US" w:eastAsia="zh-CN"/>
        </w:rPr>
        <w:t>3.57</w:t>
      </w:r>
      <w:r>
        <w:rPr>
          <w:rFonts w:hint="eastAsia" w:ascii="仿宋" w:hAnsi="仿宋" w:eastAsia="仿宋"/>
          <w:color w:val="000000"/>
          <w:sz w:val="32"/>
          <w:highlight w:val="white"/>
          <w:lang w:val="en-US"/>
        </w:rPr>
        <w:t>万元，支出决算为</w:t>
      </w:r>
      <w:r>
        <w:rPr>
          <w:rFonts w:hint="eastAsia" w:ascii="仿宋" w:hAnsi="仿宋" w:eastAsia="仿宋"/>
          <w:color w:val="000000"/>
          <w:sz w:val="32"/>
          <w:highlight w:val="white"/>
          <w:lang w:val="en-US" w:eastAsia="zh-CN"/>
        </w:rPr>
        <w:t>3.57</w:t>
      </w:r>
      <w:r>
        <w:rPr>
          <w:rFonts w:hint="eastAsia" w:ascii="仿宋" w:hAnsi="仿宋" w:eastAsia="仿宋"/>
          <w:color w:val="000000"/>
          <w:sz w:val="32"/>
          <w:highlight w:val="white"/>
          <w:lang w:val="en-US"/>
        </w:rPr>
        <w:t>万元，完成年初预算的</w:t>
      </w:r>
      <w:r>
        <w:rPr>
          <w:rFonts w:hint="eastAsia" w:ascii="仿宋" w:hAnsi="仿宋" w:eastAsia="仿宋"/>
          <w:color w:val="000000"/>
          <w:sz w:val="32"/>
          <w:highlight w:val="white"/>
          <w:lang w:val="en-US" w:eastAsia="zh-CN"/>
        </w:rPr>
        <w:t>100</w:t>
      </w:r>
      <w:r>
        <w:rPr>
          <w:rFonts w:hint="eastAsia" w:ascii="仿宋" w:hAnsi="仿宋" w:eastAsia="仿宋"/>
          <w:color w:val="000000"/>
          <w:sz w:val="32"/>
          <w:highlight w:val="white"/>
          <w:lang w:val="en-US"/>
        </w:rPr>
        <w:t>%，决算数</w:t>
      </w:r>
      <w:r>
        <w:rPr>
          <w:rFonts w:hint="eastAsia" w:ascii="仿宋" w:hAnsi="仿宋" w:eastAsia="仿宋"/>
          <w:color w:val="000000"/>
          <w:sz w:val="32"/>
          <w:highlight w:val="white"/>
          <w:lang w:val="en-US" w:eastAsia="zh-CN"/>
        </w:rPr>
        <w:t>等于</w:t>
      </w:r>
      <w:r>
        <w:rPr>
          <w:rFonts w:hint="eastAsia" w:ascii="仿宋" w:hAnsi="仿宋" w:eastAsia="仿宋"/>
          <w:color w:val="000000"/>
          <w:sz w:val="32"/>
          <w:highlight w:val="white"/>
          <w:lang w:val="en-US"/>
        </w:rPr>
        <w:t>预算数</w:t>
      </w:r>
      <w:r>
        <w:rPr>
          <w:rFonts w:hint="eastAsia" w:ascii="仿宋" w:hAnsi="仿宋" w:eastAsia="仿宋"/>
          <w:color w:val="000000"/>
          <w:sz w:val="32"/>
          <w:highlight w:val="white"/>
          <w:lang w:val="en-US" w:eastAsia="zh-CN"/>
        </w:rPr>
        <w:t>的原因是</w:t>
      </w:r>
      <w:r>
        <w:rPr>
          <w:rFonts w:hint="eastAsia" w:ascii="仿宋" w:hAnsi="仿宋" w:eastAsia="仿宋"/>
          <w:color w:val="000000" w:themeColor="text1"/>
          <w:sz w:val="32"/>
          <w:highlight w:val="white"/>
          <w:lang w:val="en-US" w:eastAsia="zh-CN"/>
          <w14:textFill>
            <w14:solidFill>
              <w14:schemeClr w14:val="tx1"/>
            </w14:solidFill>
          </w14:textFill>
        </w:rPr>
        <w:t>严格按照年初安排的预算支出</w:t>
      </w:r>
      <w:r>
        <w:rPr>
          <w:rFonts w:hint="eastAsia" w:ascii="仿宋" w:hAnsi="仿宋" w:eastAsia="仿宋"/>
          <w:color w:val="000000"/>
          <w:sz w:val="32"/>
          <w:highlight w:val="white"/>
          <w:lang w:val="en-US"/>
        </w:rPr>
        <w:t>。</w:t>
      </w:r>
    </w:p>
    <w:p>
      <w:pPr>
        <w:spacing w:beforeLines="0" w:afterLines="0" w:line="324" w:lineRule="auto"/>
        <w:ind w:firstLine="594"/>
        <w:rPr>
          <w:rFonts w:hint="eastAsia" w:ascii="仿宋" w:hAnsi="仿宋" w:eastAsia="仿宋"/>
          <w:color w:val="000000"/>
          <w:sz w:val="32"/>
          <w:highlight w:val="white"/>
          <w:lang w:val="en-US"/>
        </w:rPr>
      </w:pPr>
      <w:r>
        <w:rPr>
          <w:rFonts w:hint="eastAsia" w:ascii="Times New Roman" w:hAnsi="Times New Roman" w:eastAsia="仿宋_GB2312" w:cs="Times New Roman"/>
          <w:bCs/>
          <w:color w:val="000000"/>
          <w:sz w:val="32"/>
          <w:szCs w:val="32"/>
        </w:rPr>
        <w:t>卫生健康支出（类）行政事业单位医疗（款）行政单位医疗（项）</w:t>
      </w:r>
      <w:r>
        <w:rPr>
          <w:rFonts w:hint="eastAsia" w:ascii="Times New Roman" w:hAnsi="Times New Roman" w:eastAsia="仿宋_GB2312" w:cs="Times New Roman"/>
          <w:bCs/>
          <w:color w:val="000000"/>
          <w:sz w:val="32"/>
          <w:szCs w:val="32"/>
          <w:lang w:eastAsia="zh-CN"/>
        </w:rPr>
        <w:t>。</w:t>
      </w:r>
      <w:r>
        <w:rPr>
          <w:rFonts w:hint="eastAsia" w:ascii="仿宋" w:hAnsi="仿宋" w:eastAsia="仿宋"/>
          <w:color w:val="000000"/>
          <w:sz w:val="32"/>
          <w:highlight w:val="white"/>
          <w:lang w:val="en-US"/>
        </w:rPr>
        <w:t>年初预算为</w:t>
      </w:r>
      <w:r>
        <w:rPr>
          <w:rFonts w:hint="eastAsia" w:ascii="仿宋" w:hAnsi="仿宋" w:eastAsia="仿宋"/>
          <w:color w:val="000000"/>
          <w:sz w:val="32"/>
          <w:highlight w:val="white"/>
          <w:lang w:val="en-US" w:eastAsia="zh-CN"/>
        </w:rPr>
        <w:t>4.24</w:t>
      </w:r>
      <w:r>
        <w:rPr>
          <w:rFonts w:hint="eastAsia" w:ascii="仿宋" w:hAnsi="仿宋" w:eastAsia="仿宋"/>
          <w:color w:val="000000"/>
          <w:sz w:val="32"/>
          <w:highlight w:val="white"/>
          <w:lang w:val="en-US"/>
        </w:rPr>
        <w:t>万元，支出决算为</w:t>
      </w:r>
      <w:r>
        <w:rPr>
          <w:rFonts w:hint="eastAsia" w:ascii="仿宋" w:hAnsi="仿宋" w:eastAsia="仿宋"/>
          <w:color w:val="000000"/>
          <w:sz w:val="32"/>
          <w:highlight w:val="white"/>
          <w:lang w:val="en-US" w:eastAsia="zh-CN"/>
        </w:rPr>
        <w:t>4.23</w:t>
      </w:r>
      <w:r>
        <w:rPr>
          <w:rFonts w:hint="eastAsia" w:ascii="仿宋" w:hAnsi="仿宋" w:eastAsia="仿宋"/>
          <w:color w:val="000000"/>
          <w:sz w:val="32"/>
          <w:highlight w:val="white"/>
          <w:lang w:val="en-US"/>
        </w:rPr>
        <w:t>万元，完成年初预算的</w:t>
      </w:r>
      <w:r>
        <w:rPr>
          <w:rFonts w:hint="eastAsia" w:ascii="仿宋" w:hAnsi="仿宋" w:eastAsia="仿宋"/>
          <w:color w:val="000000"/>
          <w:sz w:val="32"/>
          <w:highlight w:val="white"/>
          <w:lang w:val="en-US" w:eastAsia="zh-CN"/>
        </w:rPr>
        <w:t>99.76</w:t>
      </w:r>
      <w:r>
        <w:rPr>
          <w:rFonts w:hint="eastAsia" w:ascii="仿宋" w:hAnsi="仿宋" w:eastAsia="仿宋"/>
          <w:color w:val="000000"/>
          <w:sz w:val="32"/>
          <w:highlight w:val="white"/>
          <w:lang w:val="en-US"/>
        </w:rPr>
        <w:t>%，决算数小于预算数的主要原因</w:t>
      </w:r>
      <w:r>
        <w:rPr>
          <w:rFonts w:hint="eastAsia" w:ascii="仿宋" w:hAnsi="仿宋" w:eastAsia="仿宋"/>
          <w:color w:val="000000"/>
          <w:sz w:val="32"/>
          <w:highlight w:val="white"/>
          <w:lang w:val="en-US" w:eastAsia="zh-CN"/>
        </w:rPr>
        <w:t>医疗保险支出略有结余</w:t>
      </w:r>
      <w:r>
        <w:rPr>
          <w:rFonts w:hint="eastAsia" w:ascii="仿宋" w:hAnsi="仿宋" w:eastAsia="仿宋"/>
          <w:color w:val="000000"/>
          <w:sz w:val="32"/>
          <w:highlight w:val="white"/>
          <w:lang w:val="en-US"/>
        </w:rPr>
        <w:t>。</w:t>
      </w:r>
    </w:p>
    <w:p>
      <w:pPr>
        <w:spacing w:beforeLines="0" w:afterLines="0" w:line="324" w:lineRule="auto"/>
        <w:ind w:firstLine="594"/>
        <w:rPr>
          <w:rFonts w:hint="eastAsia" w:ascii="仿宋" w:hAnsi="仿宋" w:eastAsia="仿宋"/>
          <w:color w:val="000000"/>
          <w:sz w:val="32"/>
          <w:highlight w:val="white"/>
          <w:lang w:val="en-US"/>
        </w:rPr>
      </w:pPr>
      <w:r>
        <w:rPr>
          <w:rFonts w:hint="eastAsia" w:ascii="Times New Roman" w:hAnsi="Times New Roman" w:eastAsia="仿宋_GB2312" w:cs="Times New Roman"/>
          <w:bCs/>
          <w:color w:val="000000"/>
          <w:sz w:val="32"/>
          <w:szCs w:val="32"/>
        </w:rPr>
        <w:t>农林水支出（类）林业和草原（款）行政运行（林业）（项）</w:t>
      </w:r>
      <w:r>
        <w:rPr>
          <w:rFonts w:hint="eastAsia" w:ascii="Times New Roman" w:hAnsi="Times New Roman" w:eastAsia="仿宋_GB2312" w:cs="Times New Roman"/>
          <w:bCs/>
          <w:color w:val="000000"/>
          <w:sz w:val="32"/>
          <w:szCs w:val="32"/>
          <w:lang w:eastAsia="zh-CN"/>
        </w:rPr>
        <w:t>。</w:t>
      </w:r>
      <w:r>
        <w:rPr>
          <w:rFonts w:hint="eastAsia" w:ascii="仿宋" w:hAnsi="仿宋" w:eastAsia="仿宋"/>
          <w:color w:val="000000"/>
          <w:sz w:val="32"/>
          <w:highlight w:val="white"/>
          <w:lang w:val="en-US"/>
        </w:rPr>
        <w:t>年初预算为</w:t>
      </w:r>
      <w:r>
        <w:rPr>
          <w:rFonts w:hint="eastAsia" w:ascii="仿宋" w:hAnsi="仿宋" w:eastAsia="仿宋"/>
          <w:color w:val="000000"/>
          <w:sz w:val="32"/>
          <w:highlight w:val="white"/>
          <w:lang w:val="en-US" w:eastAsia="zh-CN"/>
        </w:rPr>
        <w:t>99.96</w:t>
      </w:r>
      <w:r>
        <w:rPr>
          <w:rFonts w:hint="eastAsia" w:ascii="仿宋" w:hAnsi="仿宋" w:eastAsia="仿宋"/>
          <w:color w:val="000000"/>
          <w:sz w:val="32"/>
          <w:highlight w:val="white"/>
          <w:lang w:val="en-US"/>
        </w:rPr>
        <w:t>万元，支出决算为</w:t>
      </w:r>
      <w:r>
        <w:rPr>
          <w:rFonts w:hint="eastAsia" w:ascii="仿宋" w:hAnsi="仿宋" w:eastAsia="仿宋"/>
          <w:color w:val="000000"/>
          <w:sz w:val="32"/>
          <w:highlight w:val="white"/>
          <w:lang w:val="en-US" w:eastAsia="zh-CN"/>
        </w:rPr>
        <w:t>116.88</w:t>
      </w:r>
      <w:r>
        <w:rPr>
          <w:rFonts w:hint="eastAsia" w:ascii="仿宋" w:hAnsi="仿宋" w:eastAsia="仿宋"/>
          <w:color w:val="000000"/>
          <w:sz w:val="32"/>
          <w:highlight w:val="white"/>
          <w:lang w:val="en-US"/>
        </w:rPr>
        <w:t>万元，完成年初预算的</w:t>
      </w:r>
      <w:r>
        <w:rPr>
          <w:rFonts w:hint="eastAsia" w:ascii="仿宋" w:hAnsi="仿宋" w:eastAsia="仿宋"/>
          <w:color w:val="000000"/>
          <w:sz w:val="32"/>
          <w:highlight w:val="white"/>
          <w:lang w:val="en-US" w:eastAsia="zh-CN"/>
        </w:rPr>
        <w:t>116.93</w:t>
      </w:r>
      <w:r>
        <w:rPr>
          <w:rFonts w:hint="eastAsia" w:ascii="仿宋" w:hAnsi="仿宋" w:eastAsia="仿宋"/>
          <w:color w:val="000000"/>
          <w:sz w:val="32"/>
          <w:highlight w:val="white"/>
          <w:lang w:val="en-US"/>
        </w:rPr>
        <w:t>%，决算数大于预算数的主要原因</w:t>
      </w:r>
      <w:r>
        <w:rPr>
          <w:rFonts w:hint="eastAsia" w:ascii="仿宋" w:hAnsi="仿宋" w:eastAsia="仿宋"/>
          <w:color w:val="000000"/>
          <w:sz w:val="32"/>
          <w:highlight w:val="white"/>
          <w:lang w:val="en-US" w:eastAsia="zh-CN"/>
        </w:rPr>
        <w:t>行政运行费用增加</w:t>
      </w:r>
      <w:r>
        <w:rPr>
          <w:rFonts w:hint="eastAsia" w:ascii="仿宋" w:hAnsi="仿宋" w:eastAsia="仿宋"/>
          <w:color w:val="000000"/>
          <w:sz w:val="32"/>
          <w:highlight w:val="white"/>
          <w:lang w:val="en-US"/>
        </w:rPr>
        <w:t>。</w:t>
      </w:r>
    </w:p>
    <w:p>
      <w:pPr>
        <w:spacing w:beforeLines="0" w:afterLines="0" w:line="324" w:lineRule="auto"/>
        <w:ind w:firstLine="594"/>
        <w:rPr>
          <w:rFonts w:hint="eastAsia" w:ascii="仿宋" w:hAnsi="仿宋" w:eastAsia="仿宋"/>
          <w:color w:val="000000"/>
          <w:sz w:val="32"/>
          <w:highlight w:val="white"/>
          <w:lang w:val="en-US"/>
        </w:rPr>
      </w:pPr>
      <w:r>
        <w:rPr>
          <w:rFonts w:hint="eastAsia" w:ascii="Times New Roman" w:hAnsi="Times New Roman" w:eastAsia="仿宋_GB2312" w:cs="Times New Roman"/>
          <w:bCs/>
          <w:color w:val="000000"/>
          <w:sz w:val="32"/>
          <w:szCs w:val="32"/>
        </w:rPr>
        <w:t>农林水支出（类）林业和草原（款）其他林业支出（项）</w:t>
      </w:r>
      <w:r>
        <w:rPr>
          <w:rFonts w:hint="eastAsia" w:ascii="Times New Roman" w:hAnsi="Times New Roman" w:eastAsia="仿宋_GB2312" w:cs="Times New Roman"/>
          <w:bCs/>
          <w:color w:val="000000"/>
          <w:sz w:val="32"/>
          <w:szCs w:val="32"/>
          <w:lang w:eastAsia="zh-CN"/>
        </w:rPr>
        <w:t>。</w:t>
      </w:r>
      <w:r>
        <w:rPr>
          <w:rFonts w:hint="eastAsia" w:ascii="仿宋" w:hAnsi="仿宋" w:eastAsia="仿宋"/>
          <w:color w:val="000000"/>
          <w:sz w:val="32"/>
          <w:highlight w:val="white"/>
          <w:lang w:val="en-US"/>
        </w:rPr>
        <w:t>年初预算为</w:t>
      </w:r>
      <w:r>
        <w:rPr>
          <w:rFonts w:hint="eastAsia" w:ascii="仿宋" w:hAnsi="仿宋" w:eastAsia="仿宋"/>
          <w:color w:val="000000"/>
          <w:sz w:val="32"/>
          <w:highlight w:val="white"/>
          <w:lang w:val="en-US" w:eastAsia="zh-CN"/>
        </w:rPr>
        <w:t>23.5</w:t>
      </w:r>
      <w:r>
        <w:rPr>
          <w:rFonts w:hint="eastAsia" w:ascii="仿宋" w:hAnsi="仿宋" w:eastAsia="仿宋"/>
          <w:color w:val="000000"/>
          <w:sz w:val="32"/>
          <w:highlight w:val="white"/>
          <w:lang w:val="en-US"/>
        </w:rPr>
        <w:t>万元，支出决算为</w:t>
      </w:r>
      <w:r>
        <w:rPr>
          <w:rFonts w:hint="eastAsia" w:ascii="仿宋" w:hAnsi="仿宋" w:eastAsia="仿宋"/>
          <w:color w:val="000000"/>
          <w:sz w:val="32"/>
          <w:highlight w:val="white"/>
          <w:lang w:val="en-US" w:eastAsia="zh-CN"/>
        </w:rPr>
        <w:t>13.76</w:t>
      </w:r>
      <w:r>
        <w:rPr>
          <w:rFonts w:hint="eastAsia" w:ascii="仿宋" w:hAnsi="仿宋" w:eastAsia="仿宋"/>
          <w:color w:val="000000"/>
          <w:sz w:val="32"/>
          <w:highlight w:val="white"/>
          <w:lang w:val="en-US"/>
        </w:rPr>
        <w:t>万元，完成年初预算的</w:t>
      </w:r>
      <w:r>
        <w:rPr>
          <w:rFonts w:hint="eastAsia" w:ascii="仿宋" w:hAnsi="仿宋" w:eastAsia="仿宋"/>
          <w:color w:val="000000"/>
          <w:sz w:val="32"/>
          <w:highlight w:val="white"/>
          <w:lang w:val="en-US" w:eastAsia="zh-CN"/>
        </w:rPr>
        <w:t>58.55</w:t>
      </w:r>
      <w:r>
        <w:rPr>
          <w:rFonts w:hint="eastAsia" w:ascii="仿宋" w:hAnsi="仿宋" w:eastAsia="仿宋"/>
          <w:color w:val="000000"/>
          <w:sz w:val="32"/>
          <w:highlight w:val="white"/>
          <w:lang w:val="en-US"/>
        </w:rPr>
        <w:t>%，决算数小于预算数的主要原因</w:t>
      </w:r>
      <w:r>
        <w:rPr>
          <w:rFonts w:hint="eastAsia" w:ascii="仿宋" w:hAnsi="仿宋" w:eastAsia="仿宋"/>
          <w:color w:val="000000"/>
          <w:sz w:val="32"/>
          <w:highlight w:val="white"/>
          <w:lang w:val="en-US" w:eastAsia="zh-CN"/>
        </w:rPr>
        <w:t>项目支出减少</w:t>
      </w:r>
      <w:r>
        <w:rPr>
          <w:rFonts w:hint="eastAsia" w:ascii="仿宋" w:hAnsi="仿宋" w:eastAsia="仿宋"/>
          <w:color w:val="000000"/>
          <w:sz w:val="32"/>
          <w:highlight w:val="white"/>
          <w:lang w:val="en-US"/>
        </w:rPr>
        <w:t>。</w:t>
      </w:r>
    </w:p>
    <w:p>
      <w:pPr>
        <w:spacing w:beforeLines="0" w:afterLines="0" w:line="324" w:lineRule="auto"/>
        <w:ind w:firstLine="594"/>
        <w:rPr>
          <w:rFonts w:hint="eastAsia" w:ascii="仿宋" w:hAnsi="仿宋" w:eastAsia="仿宋"/>
          <w:color w:val="000000"/>
          <w:sz w:val="32"/>
          <w:highlight w:val="white"/>
          <w:lang w:val="en-US"/>
        </w:rPr>
      </w:pPr>
      <w:r>
        <w:rPr>
          <w:rFonts w:hint="eastAsia" w:ascii="Times New Roman" w:hAnsi="Times New Roman" w:eastAsia="仿宋_GB2312" w:cs="Times New Roman"/>
          <w:bCs/>
          <w:color w:val="000000"/>
          <w:sz w:val="32"/>
          <w:szCs w:val="32"/>
        </w:rPr>
        <w:t>住房保障支出（类）住房改革支出（款）住房公积金（项）</w:t>
      </w:r>
      <w:r>
        <w:rPr>
          <w:rFonts w:hint="eastAsia" w:ascii="Times New Roman" w:hAnsi="Times New Roman" w:eastAsia="仿宋_GB2312" w:cs="Times New Roman"/>
          <w:bCs/>
          <w:color w:val="000000"/>
          <w:sz w:val="32"/>
          <w:szCs w:val="32"/>
          <w:lang w:eastAsia="zh-CN"/>
        </w:rPr>
        <w:t>。</w:t>
      </w:r>
      <w:r>
        <w:rPr>
          <w:rFonts w:hint="eastAsia" w:ascii="仿宋" w:hAnsi="仿宋" w:eastAsia="仿宋"/>
          <w:color w:val="000000"/>
          <w:sz w:val="32"/>
          <w:highlight w:val="white"/>
          <w:lang w:val="en-US"/>
        </w:rPr>
        <w:t>年初预算为</w:t>
      </w:r>
      <w:r>
        <w:rPr>
          <w:rFonts w:hint="eastAsia" w:ascii="仿宋" w:hAnsi="仿宋" w:eastAsia="仿宋"/>
          <w:color w:val="000000"/>
          <w:sz w:val="32"/>
          <w:highlight w:val="white"/>
          <w:lang w:val="en-US" w:eastAsia="zh-CN"/>
        </w:rPr>
        <w:t>11.39</w:t>
      </w:r>
      <w:r>
        <w:rPr>
          <w:rFonts w:hint="eastAsia" w:ascii="仿宋" w:hAnsi="仿宋" w:eastAsia="仿宋"/>
          <w:color w:val="000000"/>
          <w:sz w:val="32"/>
          <w:highlight w:val="white"/>
          <w:lang w:val="en-US"/>
        </w:rPr>
        <w:t>万元，支出决算为</w:t>
      </w:r>
      <w:r>
        <w:rPr>
          <w:rFonts w:hint="eastAsia" w:ascii="仿宋" w:hAnsi="仿宋" w:eastAsia="仿宋"/>
          <w:color w:val="000000"/>
          <w:sz w:val="32"/>
          <w:highlight w:val="white"/>
          <w:lang w:val="en-US" w:eastAsia="zh-CN"/>
        </w:rPr>
        <w:t>12.41</w:t>
      </w:r>
      <w:r>
        <w:rPr>
          <w:rFonts w:hint="eastAsia" w:ascii="仿宋" w:hAnsi="仿宋" w:eastAsia="仿宋"/>
          <w:color w:val="000000"/>
          <w:sz w:val="32"/>
          <w:highlight w:val="white"/>
          <w:lang w:val="en-US"/>
        </w:rPr>
        <w:t>万元，完成年初预算的</w:t>
      </w:r>
      <w:r>
        <w:rPr>
          <w:rFonts w:hint="eastAsia" w:ascii="仿宋" w:hAnsi="仿宋" w:eastAsia="仿宋"/>
          <w:color w:val="000000"/>
          <w:sz w:val="32"/>
          <w:highlight w:val="white"/>
          <w:lang w:val="en-US" w:eastAsia="zh-CN"/>
        </w:rPr>
        <w:t>100</w:t>
      </w:r>
      <w:r>
        <w:rPr>
          <w:rFonts w:hint="eastAsia" w:ascii="仿宋" w:hAnsi="仿宋" w:eastAsia="仿宋"/>
          <w:color w:val="000000"/>
          <w:sz w:val="32"/>
          <w:highlight w:val="white"/>
          <w:lang w:val="en-US"/>
        </w:rPr>
        <w:t>%，决算数大于预算数的主要原因</w:t>
      </w:r>
      <w:r>
        <w:rPr>
          <w:rFonts w:hint="eastAsia" w:ascii="仿宋" w:hAnsi="仿宋" w:eastAsia="仿宋"/>
          <w:color w:val="000000"/>
          <w:sz w:val="32"/>
          <w:highlight w:val="white"/>
          <w:lang w:val="en-US" w:eastAsia="zh-CN"/>
        </w:rPr>
        <w:t>是公积金基数提高</w:t>
      </w:r>
      <w:r>
        <w:rPr>
          <w:rFonts w:hint="eastAsia" w:ascii="仿宋" w:hAnsi="仿宋" w:eastAsia="仿宋"/>
          <w:color w:val="000000"/>
          <w:sz w:val="32"/>
          <w:highlight w:val="white"/>
          <w:lang w:val="en-US"/>
        </w:rPr>
        <w:t>。</w:t>
      </w:r>
    </w:p>
    <w:p>
      <w:pPr>
        <w:ind w:firstLine="640" w:firstLineChars="200"/>
        <w:rPr>
          <w:rFonts w:ascii="Times New Roman" w:hAnsi="Times New Roman" w:eastAsia="仿宋_GB2312" w:cs="Times New Roman"/>
          <w:bCs/>
          <w:color w:val="000000"/>
          <w:sz w:val="32"/>
          <w:szCs w:val="32"/>
        </w:rPr>
      </w:pPr>
    </w:p>
    <w:p>
      <w:pPr>
        <w:spacing w:beforeLines="0" w:afterLines="0" w:line="324" w:lineRule="auto"/>
        <w:ind w:firstLine="594"/>
        <w:rPr>
          <w:rFonts w:hint="default" w:ascii="Times New Roman" w:hAnsi="Times New Roman" w:eastAsia="Times New Roman"/>
          <w:color w:val="000000"/>
          <w:sz w:val="32"/>
          <w:highlight w:val="white"/>
          <w:lang w:val="en-US"/>
        </w:rPr>
      </w:pPr>
      <w:r>
        <w:rPr>
          <w:rFonts w:hint="eastAsia" w:ascii="楷体" w:hAnsi="楷体" w:eastAsia="楷体"/>
          <w:b/>
          <w:color w:val="000000"/>
          <w:sz w:val="32"/>
          <w:highlight w:val="white"/>
          <w:lang w:val="en-US"/>
        </w:rPr>
        <w:t>（六）一般公共预算财政拨款基本支出决算情况说明</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2020年度一般公共预算财政拨款基本支出178.63万元，其中：</w:t>
      </w:r>
    </w:p>
    <w:p>
      <w:pPr>
        <w:spacing w:line="560" w:lineRule="exact"/>
        <w:ind w:firstLine="640" w:firstLineChars="200"/>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人员经费159.46万元，主要包括：基本工资、津贴补贴、奖金、</w:t>
      </w:r>
      <w:r>
        <w:rPr>
          <w:rFonts w:ascii="Times New Roman" w:hAnsi="Times New Roman" w:eastAsia="仿宋_GB2312" w:cs="Times New Roman"/>
          <w:color w:val="000000"/>
          <w:sz w:val="32"/>
          <w:szCs w:val="32"/>
        </w:rPr>
        <w:t>机关事业单位基本养老保险缴费、职业年金缴费、职工基本医疗保险缴费、公务员医疗补助缴费、其他社会保障缴费、住房公积金、其他工资福利支出、离休费、退休费、其他对个人和家庭的补助；</w:t>
      </w:r>
    </w:p>
    <w:p>
      <w:pPr>
        <w:spacing w:beforeLines="0" w:afterLines="0" w:line="324" w:lineRule="auto"/>
        <w:ind w:firstLine="594"/>
        <w:rPr>
          <w:rFonts w:hint="default" w:ascii="Times New Roman" w:hAnsi="Times New Roman" w:eastAsia="Times New Roman"/>
          <w:color w:val="000000"/>
          <w:sz w:val="32"/>
          <w:highlight w:val="white"/>
          <w:lang w:val="en-US"/>
        </w:rPr>
      </w:pPr>
      <w:r>
        <w:rPr>
          <w:rFonts w:hint="eastAsia" w:ascii="仿宋" w:hAnsi="仿宋" w:eastAsia="仿宋"/>
          <w:color w:val="000000"/>
          <w:sz w:val="32"/>
          <w:highlight w:val="white"/>
          <w:lang w:val="en-US"/>
        </w:rPr>
        <w:t>公用经费19.18万元，主要包括：办公费、</w:t>
      </w:r>
      <w:r>
        <w:rPr>
          <w:rFonts w:ascii="Times New Roman" w:hAnsi="Times New Roman" w:eastAsia="仿宋_GB2312" w:cs="Times New Roman"/>
          <w:color w:val="000000"/>
          <w:sz w:val="32"/>
          <w:szCs w:val="32"/>
        </w:rPr>
        <w:t>邮电费、差旅费、培训费、公务接待费、</w:t>
      </w:r>
      <w:r>
        <w:rPr>
          <w:rFonts w:hint="eastAsia" w:ascii="Times New Roman" w:hAnsi="Times New Roman" w:eastAsia="仿宋_GB2312" w:cs="Times New Roman"/>
          <w:color w:val="000000"/>
          <w:sz w:val="32"/>
          <w:szCs w:val="32"/>
          <w:lang w:eastAsia="zh-CN"/>
        </w:rPr>
        <w:t>劳务费、委托业务费、</w:t>
      </w:r>
      <w:r>
        <w:rPr>
          <w:rFonts w:ascii="Times New Roman" w:hAnsi="Times New Roman" w:eastAsia="仿宋_GB2312" w:cs="Times New Roman"/>
          <w:color w:val="000000"/>
          <w:sz w:val="32"/>
          <w:szCs w:val="32"/>
        </w:rPr>
        <w:t>工会经费、福利费、其他交通费用、其他商品和服务支出</w:t>
      </w:r>
      <w:r>
        <w:rPr>
          <w:rFonts w:hint="eastAsia" w:ascii="仿宋" w:hAnsi="仿宋" w:eastAsia="仿宋"/>
          <w:color w:val="000000"/>
          <w:sz w:val="32"/>
          <w:highlight w:val="white"/>
          <w:lang w:val="en-US"/>
        </w:rPr>
        <w:t>。</w:t>
      </w:r>
    </w:p>
    <w:p>
      <w:pPr>
        <w:numPr>
          <w:ilvl w:val="0"/>
          <w:numId w:val="2"/>
        </w:numPr>
        <w:spacing w:beforeLines="0" w:afterLines="0" w:line="324" w:lineRule="auto"/>
        <w:ind w:firstLine="594"/>
        <w:rPr>
          <w:rFonts w:hint="eastAsia" w:ascii="仿宋" w:hAnsi="仿宋" w:eastAsia="仿宋"/>
          <w:b/>
          <w:color w:val="000000"/>
          <w:sz w:val="32"/>
          <w:highlight w:val="white"/>
          <w:lang w:val="en-US"/>
        </w:rPr>
      </w:pPr>
      <w:r>
        <w:rPr>
          <w:rFonts w:hint="eastAsia" w:ascii="楷体" w:hAnsi="楷体" w:eastAsia="楷体"/>
          <w:b/>
          <w:color w:val="000000"/>
          <w:sz w:val="32"/>
          <w:highlight w:val="white"/>
          <w:lang w:val="en-US"/>
        </w:rPr>
        <w:t>政府性基金预算财政拨款支出</w:t>
      </w:r>
      <w:r>
        <w:rPr>
          <w:rFonts w:hint="eastAsia" w:ascii="楷体" w:hAnsi="楷体" w:eastAsia="楷体"/>
          <w:b/>
          <w:color w:val="000000"/>
          <w:sz w:val="32"/>
          <w:highlight w:val="white"/>
          <w:lang w:val="zh-CN"/>
        </w:rPr>
        <w:t>决算</w:t>
      </w:r>
      <w:r>
        <w:rPr>
          <w:rFonts w:hint="eastAsia" w:ascii="楷体" w:hAnsi="楷体" w:eastAsia="楷体"/>
          <w:b/>
          <w:color w:val="000000"/>
          <w:sz w:val="32"/>
          <w:highlight w:val="white"/>
          <w:lang w:val="en-US"/>
        </w:rPr>
        <w:t>总体情况说明</w:t>
      </w:r>
    </w:p>
    <w:p>
      <w:pPr>
        <w:numPr>
          <w:ilvl w:val="0"/>
          <w:numId w:val="0"/>
        </w:numPr>
        <w:spacing w:beforeLines="0" w:afterLines="0" w:line="324" w:lineRule="auto"/>
        <w:ind w:firstLine="640" w:firstLineChars="200"/>
        <w:rPr>
          <w:rFonts w:hint="eastAsia" w:ascii="仿宋" w:hAnsi="仿宋" w:eastAsia="仿宋"/>
          <w:b/>
          <w:color w:val="000000"/>
          <w:sz w:val="32"/>
          <w:highlight w:val="white"/>
          <w:lang w:val="en-US"/>
        </w:rPr>
      </w:pPr>
      <w:r>
        <w:rPr>
          <w:rFonts w:hint="eastAsia" w:ascii="仿宋" w:hAnsi="仿宋" w:eastAsia="仿宋"/>
          <w:color w:val="000000"/>
          <w:sz w:val="32"/>
          <w:highlight w:val="white"/>
          <w:lang w:val="en-US"/>
        </w:rPr>
        <w:t>本单位2020年度无政府性基金预算财政拨款收支安排，故无相关数据</w:t>
      </w:r>
      <w:r>
        <w:rPr>
          <w:rFonts w:ascii="Times New Roman" w:hAnsi="Times New Roman" w:eastAsia="仿宋_GB2312" w:cs="Times New Roman"/>
          <w:color w:val="000000"/>
          <w:sz w:val="32"/>
          <w:szCs w:val="32"/>
        </w:rPr>
        <w:t>。</w:t>
      </w:r>
    </w:p>
    <w:p>
      <w:pPr>
        <w:numPr>
          <w:ilvl w:val="0"/>
          <w:numId w:val="2"/>
        </w:numPr>
        <w:spacing w:beforeLines="0" w:afterLines="0" w:line="324" w:lineRule="auto"/>
        <w:ind w:left="319" w:leftChars="152" w:firstLine="320" w:firstLineChars="0"/>
        <w:rPr>
          <w:rFonts w:hint="eastAsia" w:ascii="楷体" w:hAnsi="楷体" w:eastAsia="楷体"/>
          <w:b/>
          <w:color w:val="000000"/>
          <w:sz w:val="32"/>
          <w:highlight w:val="white"/>
          <w:lang w:val="en-US"/>
        </w:rPr>
      </w:pPr>
      <w:r>
        <w:rPr>
          <w:rFonts w:hint="eastAsia" w:ascii="楷体" w:hAnsi="楷体" w:eastAsia="楷体"/>
          <w:b/>
          <w:color w:val="000000"/>
          <w:sz w:val="32"/>
          <w:highlight w:val="white"/>
          <w:lang w:val="en-US"/>
        </w:rPr>
        <w:t>国有资本经营预算财政拨款支出</w:t>
      </w:r>
      <w:r>
        <w:rPr>
          <w:rFonts w:hint="eastAsia" w:ascii="楷体" w:hAnsi="楷体" w:eastAsia="楷体"/>
          <w:b/>
          <w:color w:val="000000"/>
          <w:sz w:val="32"/>
          <w:highlight w:val="white"/>
          <w:lang w:val="zh-CN"/>
        </w:rPr>
        <w:t>决算</w:t>
      </w:r>
      <w:r>
        <w:rPr>
          <w:rFonts w:hint="eastAsia" w:ascii="楷体" w:hAnsi="楷体" w:eastAsia="楷体"/>
          <w:b/>
          <w:color w:val="000000"/>
          <w:sz w:val="32"/>
          <w:highlight w:val="white"/>
          <w:lang w:val="en-US"/>
        </w:rPr>
        <w:t>总体情况说</w:t>
      </w:r>
      <w:r>
        <w:rPr>
          <w:rFonts w:hint="eastAsia" w:ascii="楷体" w:hAnsi="楷体" w:eastAsia="楷体"/>
          <w:b/>
          <w:color w:val="000000"/>
          <w:sz w:val="32"/>
          <w:highlight w:val="white"/>
          <w:lang w:val="en-US" w:eastAsia="zh-CN"/>
        </w:rPr>
        <w:t>明</w:t>
      </w:r>
    </w:p>
    <w:p>
      <w:pPr>
        <w:numPr>
          <w:ilvl w:val="0"/>
          <w:numId w:val="0"/>
        </w:numPr>
        <w:spacing w:beforeLines="0" w:afterLines="0" w:line="324" w:lineRule="auto"/>
        <w:ind w:leftChars="152" w:firstLine="320" w:firstLineChars="100"/>
        <w:rPr>
          <w:rFonts w:hint="eastAsia" w:ascii="仿宋" w:hAnsi="仿宋" w:eastAsia="仿宋"/>
          <w:b/>
          <w:color w:val="000000"/>
          <w:sz w:val="32"/>
          <w:highlight w:val="white"/>
          <w:lang w:val="en-US"/>
        </w:rPr>
      </w:pPr>
      <w:r>
        <w:rPr>
          <w:rFonts w:hint="eastAsia" w:ascii="仿宋" w:hAnsi="仿宋" w:eastAsia="仿宋"/>
          <w:color w:val="000000"/>
          <w:sz w:val="32"/>
          <w:highlight w:val="white"/>
          <w:lang w:val="en-US"/>
        </w:rPr>
        <w:t>本单位2020年度无国有资本经营预算财政拨款收支安排，故无相关数据</w:t>
      </w:r>
      <w:r>
        <w:rPr>
          <w:rFonts w:hint="eastAsia" w:ascii="仿宋" w:hAnsi="仿宋" w:eastAsia="仿宋"/>
          <w:color w:val="000000"/>
          <w:sz w:val="32"/>
          <w:highlight w:val="white"/>
          <w:lang w:val="en-US" w:eastAsia="zh-CN"/>
        </w:rPr>
        <w:t>。</w:t>
      </w:r>
    </w:p>
    <w:p>
      <w:pPr>
        <w:spacing w:beforeLines="0" w:afterLines="0" w:line="324" w:lineRule="auto"/>
        <w:ind w:firstLine="594"/>
        <w:rPr>
          <w:rFonts w:hint="default" w:ascii="Times New Roman" w:hAnsi="Times New Roman" w:eastAsia="Times New Roman"/>
          <w:b/>
          <w:color w:val="000000"/>
          <w:sz w:val="32"/>
          <w:highlight w:val="white"/>
          <w:lang w:val="en-US"/>
        </w:rPr>
      </w:pPr>
      <w:r>
        <w:rPr>
          <w:rFonts w:hint="eastAsia" w:ascii="楷体" w:hAnsi="楷体" w:eastAsia="楷体"/>
          <w:b/>
          <w:color w:val="000000"/>
          <w:sz w:val="32"/>
          <w:highlight w:val="white"/>
          <w:lang w:val="en-US"/>
        </w:rPr>
        <w:t>（九）一般公共预算财政拨款</w:t>
      </w:r>
      <w:r>
        <w:rPr>
          <w:rFonts w:hint="default" w:ascii="楷体" w:hAnsi="楷体" w:eastAsia="楷体"/>
          <w:b/>
          <w:color w:val="000000"/>
          <w:sz w:val="32"/>
          <w:highlight w:val="white"/>
          <w:lang w:val="en-US"/>
        </w:rPr>
        <w:t>“</w:t>
      </w:r>
      <w:r>
        <w:rPr>
          <w:rFonts w:hint="eastAsia" w:ascii="楷体" w:hAnsi="楷体" w:eastAsia="楷体"/>
          <w:b/>
          <w:color w:val="000000"/>
          <w:sz w:val="32"/>
          <w:highlight w:val="white"/>
          <w:lang w:val="en-US"/>
        </w:rPr>
        <w:t>三公</w:t>
      </w:r>
      <w:r>
        <w:rPr>
          <w:rFonts w:hint="default" w:ascii="楷体" w:hAnsi="楷体" w:eastAsia="楷体"/>
          <w:b/>
          <w:color w:val="000000"/>
          <w:sz w:val="32"/>
          <w:highlight w:val="white"/>
          <w:lang w:val="en-US"/>
        </w:rPr>
        <w:t>”</w:t>
      </w:r>
      <w:r>
        <w:rPr>
          <w:rFonts w:hint="eastAsia" w:ascii="楷体" w:hAnsi="楷体" w:eastAsia="楷体"/>
          <w:b/>
          <w:color w:val="000000"/>
          <w:sz w:val="32"/>
          <w:highlight w:val="white"/>
          <w:lang w:val="en-US"/>
        </w:rPr>
        <w:t>经费支出决算情况说明</w:t>
      </w:r>
    </w:p>
    <w:p>
      <w:pPr>
        <w:spacing w:beforeLines="0" w:afterLines="0" w:line="324" w:lineRule="auto"/>
        <w:ind w:firstLine="594"/>
        <w:rPr>
          <w:rFonts w:hint="eastAsia" w:ascii="仿宋" w:hAnsi="仿宋" w:eastAsia="仿宋"/>
          <w:b/>
          <w:color w:val="000000"/>
          <w:sz w:val="32"/>
          <w:highlight w:val="white"/>
          <w:lang w:val="en-US"/>
        </w:rPr>
      </w:pPr>
      <w:r>
        <w:rPr>
          <w:rFonts w:hint="eastAsia" w:ascii="仿宋" w:hAnsi="仿宋" w:eastAsia="仿宋"/>
          <w:b/>
          <w:color w:val="000000"/>
          <w:sz w:val="32"/>
          <w:highlight w:val="white"/>
          <w:lang w:val="en-US"/>
        </w:rPr>
        <w:t>1.</w:t>
      </w:r>
      <w:r>
        <w:rPr>
          <w:rFonts w:hint="default" w:ascii="仿宋" w:hAnsi="仿宋" w:eastAsia="仿宋"/>
          <w:b/>
          <w:color w:val="000000"/>
          <w:sz w:val="32"/>
          <w:highlight w:val="white"/>
          <w:lang w:val="en-US"/>
        </w:rPr>
        <w:t>“</w:t>
      </w:r>
      <w:r>
        <w:rPr>
          <w:rFonts w:hint="eastAsia" w:ascii="仿宋" w:hAnsi="仿宋" w:eastAsia="仿宋"/>
          <w:b/>
          <w:color w:val="000000"/>
          <w:sz w:val="32"/>
          <w:highlight w:val="white"/>
          <w:lang w:val="en-US"/>
        </w:rPr>
        <w:t>三公</w:t>
      </w:r>
      <w:r>
        <w:rPr>
          <w:rFonts w:hint="default" w:ascii="仿宋" w:hAnsi="仿宋" w:eastAsia="仿宋"/>
          <w:b/>
          <w:color w:val="000000"/>
          <w:sz w:val="32"/>
          <w:highlight w:val="white"/>
          <w:lang w:val="en-US"/>
        </w:rPr>
        <w:t>”</w:t>
      </w:r>
      <w:r>
        <w:rPr>
          <w:rFonts w:hint="eastAsia" w:ascii="仿宋" w:hAnsi="仿宋" w:eastAsia="仿宋"/>
          <w:b/>
          <w:color w:val="000000"/>
          <w:sz w:val="32"/>
          <w:highlight w:val="white"/>
          <w:lang w:val="en-US"/>
        </w:rPr>
        <w:t xml:space="preserve">经费一般公共预算财政拨款支出决算总体情况说明。 </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2020年度</w:t>
      </w:r>
      <w:r>
        <w:rPr>
          <w:rFonts w:hint="default" w:ascii="仿宋" w:hAnsi="仿宋" w:eastAsia="仿宋"/>
          <w:color w:val="000000"/>
          <w:sz w:val="32"/>
          <w:highlight w:val="white"/>
          <w:lang w:val="en-US"/>
        </w:rPr>
        <w:t>“</w:t>
      </w:r>
      <w:r>
        <w:rPr>
          <w:rFonts w:hint="eastAsia" w:ascii="仿宋" w:hAnsi="仿宋" w:eastAsia="仿宋"/>
          <w:color w:val="000000"/>
          <w:sz w:val="32"/>
          <w:highlight w:val="white"/>
          <w:lang w:val="en-US"/>
        </w:rPr>
        <w:t>三公</w:t>
      </w:r>
      <w:r>
        <w:rPr>
          <w:rFonts w:hint="default" w:ascii="仿宋" w:hAnsi="仿宋" w:eastAsia="仿宋"/>
          <w:color w:val="000000"/>
          <w:sz w:val="32"/>
          <w:highlight w:val="white"/>
          <w:lang w:val="en-US"/>
        </w:rPr>
        <w:t>”</w:t>
      </w:r>
      <w:r>
        <w:rPr>
          <w:rFonts w:hint="eastAsia" w:ascii="仿宋" w:hAnsi="仿宋" w:eastAsia="仿宋"/>
          <w:color w:val="000000"/>
          <w:sz w:val="32"/>
          <w:highlight w:val="white"/>
          <w:lang w:val="en-US"/>
        </w:rPr>
        <w:t>经费一般公共预算财政拨款支出预算为</w:t>
      </w:r>
      <w:r>
        <w:rPr>
          <w:rFonts w:hint="eastAsia" w:ascii="仿宋" w:hAnsi="仿宋" w:eastAsia="仿宋"/>
          <w:color w:val="000000"/>
          <w:sz w:val="32"/>
          <w:highlight w:val="white"/>
          <w:lang w:val="en-US" w:eastAsia="zh-CN"/>
        </w:rPr>
        <w:t>0.9</w:t>
      </w:r>
      <w:r>
        <w:rPr>
          <w:rFonts w:hint="eastAsia" w:ascii="仿宋" w:hAnsi="仿宋" w:eastAsia="仿宋"/>
          <w:color w:val="000000"/>
          <w:sz w:val="32"/>
          <w:highlight w:val="white"/>
          <w:lang w:val="en-US"/>
        </w:rPr>
        <w:t>万元，支出决算为0.17万元，完成预算的</w:t>
      </w:r>
      <w:r>
        <w:rPr>
          <w:rFonts w:hint="eastAsia" w:ascii="仿宋" w:hAnsi="仿宋" w:eastAsia="仿宋"/>
          <w:color w:val="000000"/>
          <w:sz w:val="32"/>
          <w:highlight w:val="white"/>
          <w:lang w:val="en-US" w:eastAsia="zh-CN"/>
        </w:rPr>
        <w:t>18.89</w:t>
      </w:r>
      <w:r>
        <w:rPr>
          <w:rFonts w:hint="eastAsia" w:ascii="仿宋" w:hAnsi="仿宋" w:eastAsia="仿宋"/>
          <w:color w:val="000000"/>
          <w:sz w:val="32"/>
          <w:highlight w:val="white"/>
          <w:lang w:val="en-US"/>
        </w:rPr>
        <w:t>%,2020年度</w:t>
      </w:r>
      <w:r>
        <w:rPr>
          <w:rFonts w:hint="default" w:ascii="仿宋" w:hAnsi="仿宋" w:eastAsia="仿宋"/>
          <w:color w:val="000000"/>
          <w:sz w:val="32"/>
          <w:highlight w:val="white"/>
          <w:lang w:val="en-US"/>
        </w:rPr>
        <w:t>“</w:t>
      </w:r>
      <w:r>
        <w:rPr>
          <w:rFonts w:hint="eastAsia" w:ascii="仿宋" w:hAnsi="仿宋" w:eastAsia="仿宋"/>
          <w:color w:val="000000"/>
          <w:sz w:val="32"/>
          <w:highlight w:val="white"/>
          <w:lang w:val="en-US"/>
        </w:rPr>
        <w:t>三公</w:t>
      </w:r>
      <w:r>
        <w:rPr>
          <w:rFonts w:hint="default" w:ascii="仿宋" w:hAnsi="仿宋" w:eastAsia="仿宋"/>
          <w:color w:val="000000"/>
          <w:sz w:val="32"/>
          <w:highlight w:val="white"/>
          <w:lang w:val="en-US"/>
        </w:rPr>
        <w:t>”</w:t>
      </w:r>
      <w:r>
        <w:rPr>
          <w:rFonts w:hint="eastAsia" w:ascii="仿宋" w:hAnsi="仿宋" w:eastAsia="仿宋"/>
          <w:color w:val="000000"/>
          <w:sz w:val="32"/>
          <w:highlight w:val="white"/>
          <w:lang w:val="en-US"/>
        </w:rPr>
        <w:t>经费支出决算数小于预算数的主要原因是</w:t>
      </w:r>
      <w:r>
        <w:rPr>
          <w:rFonts w:hint="eastAsia" w:ascii="仿宋" w:hAnsi="仿宋" w:eastAsia="仿宋"/>
          <w:color w:val="000000"/>
          <w:sz w:val="32"/>
          <w:highlight w:val="white"/>
          <w:lang w:val="en-US" w:eastAsia="zh-CN"/>
        </w:rPr>
        <w:t>受新冠疫情影响公务接待减少</w:t>
      </w:r>
      <w:r>
        <w:rPr>
          <w:rFonts w:hint="eastAsia" w:ascii="仿宋" w:hAnsi="仿宋" w:eastAsia="仿宋"/>
          <w:color w:val="000000"/>
          <w:sz w:val="32"/>
          <w:highlight w:val="white"/>
          <w:lang w:val="en-US"/>
        </w:rPr>
        <w:t>。</w:t>
      </w:r>
    </w:p>
    <w:p>
      <w:pPr>
        <w:spacing w:beforeLines="0" w:afterLines="0" w:line="324" w:lineRule="auto"/>
        <w:ind w:firstLine="594"/>
        <w:rPr>
          <w:rFonts w:hint="eastAsia" w:ascii="仿宋" w:hAnsi="仿宋" w:eastAsia="仿宋"/>
          <w:b/>
          <w:color w:val="000000"/>
          <w:sz w:val="32"/>
          <w:highlight w:val="white"/>
          <w:lang w:val="en-US"/>
        </w:rPr>
      </w:pPr>
      <w:r>
        <w:rPr>
          <w:rFonts w:hint="eastAsia" w:ascii="仿宋" w:hAnsi="仿宋" w:eastAsia="仿宋"/>
          <w:b/>
          <w:color w:val="000000"/>
          <w:sz w:val="32"/>
          <w:highlight w:val="white"/>
          <w:lang w:val="en-US"/>
        </w:rPr>
        <w:t>2.</w:t>
      </w:r>
      <w:r>
        <w:rPr>
          <w:rFonts w:hint="default" w:ascii="仿宋" w:hAnsi="仿宋" w:eastAsia="仿宋"/>
          <w:b/>
          <w:color w:val="000000"/>
          <w:sz w:val="32"/>
          <w:highlight w:val="white"/>
          <w:lang w:val="en-US"/>
        </w:rPr>
        <w:t>“</w:t>
      </w:r>
      <w:r>
        <w:rPr>
          <w:rFonts w:hint="eastAsia" w:ascii="仿宋" w:hAnsi="仿宋" w:eastAsia="仿宋"/>
          <w:b/>
          <w:color w:val="000000"/>
          <w:sz w:val="32"/>
          <w:highlight w:val="white"/>
          <w:lang w:val="en-US"/>
        </w:rPr>
        <w:t>三公</w:t>
      </w:r>
      <w:r>
        <w:rPr>
          <w:rFonts w:hint="default" w:ascii="仿宋" w:hAnsi="仿宋" w:eastAsia="仿宋"/>
          <w:b/>
          <w:color w:val="000000"/>
          <w:sz w:val="32"/>
          <w:highlight w:val="white"/>
          <w:lang w:val="en-US"/>
        </w:rPr>
        <w:t>”</w:t>
      </w:r>
      <w:r>
        <w:rPr>
          <w:rFonts w:hint="eastAsia" w:ascii="仿宋" w:hAnsi="仿宋" w:eastAsia="仿宋"/>
          <w:b/>
          <w:color w:val="000000"/>
          <w:sz w:val="32"/>
          <w:highlight w:val="white"/>
          <w:lang w:val="en-US"/>
        </w:rPr>
        <w:t>经费一般公共预算财政拨款支出决算具体情况说明。</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2020年度</w:t>
      </w:r>
      <w:r>
        <w:rPr>
          <w:rFonts w:hint="default" w:ascii="仿宋" w:hAnsi="仿宋" w:eastAsia="仿宋"/>
          <w:color w:val="000000"/>
          <w:sz w:val="32"/>
          <w:highlight w:val="white"/>
          <w:lang w:val="en-US"/>
        </w:rPr>
        <w:t>“</w:t>
      </w:r>
      <w:r>
        <w:rPr>
          <w:rFonts w:hint="eastAsia" w:ascii="仿宋" w:hAnsi="仿宋" w:eastAsia="仿宋"/>
          <w:color w:val="000000"/>
          <w:sz w:val="32"/>
          <w:highlight w:val="white"/>
          <w:lang w:val="en-US"/>
        </w:rPr>
        <w:t>三公</w:t>
      </w:r>
      <w:r>
        <w:rPr>
          <w:rFonts w:hint="default" w:ascii="仿宋" w:hAnsi="仿宋" w:eastAsia="仿宋"/>
          <w:color w:val="000000"/>
          <w:sz w:val="32"/>
          <w:highlight w:val="white"/>
          <w:lang w:val="en-US"/>
        </w:rPr>
        <w:t>”</w:t>
      </w:r>
      <w:r>
        <w:rPr>
          <w:rFonts w:hint="eastAsia" w:ascii="仿宋" w:hAnsi="仿宋" w:eastAsia="仿宋"/>
          <w:color w:val="000000"/>
          <w:sz w:val="32"/>
          <w:highlight w:val="white"/>
          <w:lang w:val="en-US"/>
        </w:rPr>
        <w:t>经费一般公共预算财政拨款支出决算中，因公出国（境）费用支出决算为0万元，占0%，与2019年度相比</w:t>
      </w:r>
      <w:r>
        <w:rPr>
          <w:rFonts w:hint="eastAsia" w:ascii="仿宋" w:hAnsi="仿宋" w:eastAsia="仿宋"/>
          <w:color w:val="000000"/>
          <w:sz w:val="32"/>
          <w:highlight w:val="white"/>
          <w:lang w:val="en-US" w:eastAsia="zh-CN"/>
        </w:rPr>
        <w:t>持平</w:t>
      </w:r>
      <w:r>
        <w:rPr>
          <w:rFonts w:hint="eastAsia" w:ascii="仿宋" w:hAnsi="仿宋" w:eastAsia="仿宋"/>
          <w:color w:val="000000"/>
          <w:sz w:val="32"/>
          <w:highlight w:val="white"/>
          <w:lang w:val="en-US"/>
        </w:rPr>
        <w:t>，主要原因是</w:t>
      </w:r>
      <w:r>
        <w:rPr>
          <w:rFonts w:hint="eastAsia" w:ascii="仿宋" w:hAnsi="仿宋" w:eastAsia="仿宋"/>
          <w:color w:val="000000"/>
          <w:sz w:val="32"/>
          <w:highlight w:val="white"/>
          <w:lang w:val="en-US" w:eastAsia="zh-CN"/>
        </w:rPr>
        <w:t>2020年无</w:t>
      </w:r>
      <w:r>
        <w:rPr>
          <w:rFonts w:hint="eastAsia" w:ascii="仿宋" w:hAnsi="仿宋" w:eastAsia="仿宋"/>
          <w:color w:val="000000"/>
          <w:sz w:val="32"/>
          <w:highlight w:val="white"/>
          <w:lang w:val="en-US"/>
        </w:rPr>
        <w:t>因公出国（境）</w:t>
      </w:r>
      <w:r>
        <w:rPr>
          <w:rFonts w:hint="eastAsia" w:ascii="仿宋" w:hAnsi="仿宋" w:eastAsia="仿宋"/>
          <w:color w:val="000000"/>
          <w:sz w:val="32"/>
          <w:highlight w:val="white"/>
          <w:lang w:val="en-US" w:eastAsia="zh-CN"/>
        </w:rPr>
        <w:t>人员</w:t>
      </w:r>
      <w:r>
        <w:rPr>
          <w:rFonts w:hint="eastAsia" w:ascii="仿宋" w:hAnsi="仿宋" w:eastAsia="仿宋"/>
          <w:color w:val="000000"/>
          <w:sz w:val="32"/>
          <w:highlight w:val="white"/>
          <w:lang w:val="en-US"/>
        </w:rPr>
        <w:t>；公务用车购置及运行维护费支出决算为0万元，占0%，与2019年度相比</w:t>
      </w:r>
      <w:r>
        <w:rPr>
          <w:rFonts w:hint="eastAsia" w:ascii="仿宋" w:hAnsi="仿宋" w:eastAsia="仿宋"/>
          <w:color w:val="000000"/>
          <w:sz w:val="32"/>
          <w:highlight w:val="white"/>
          <w:lang w:val="en-US" w:eastAsia="zh-CN"/>
        </w:rPr>
        <w:t>持平</w:t>
      </w:r>
      <w:r>
        <w:rPr>
          <w:rFonts w:hint="eastAsia" w:ascii="仿宋" w:hAnsi="仿宋" w:eastAsia="仿宋"/>
          <w:color w:val="000000"/>
          <w:sz w:val="32"/>
          <w:highlight w:val="white"/>
          <w:lang w:val="en-US"/>
        </w:rPr>
        <w:t>，主要原因是</w:t>
      </w:r>
      <w:r>
        <w:rPr>
          <w:rFonts w:hint="eastAsia" w:ascii="仿宋" w:hAnsi="仿宋" w:eastAsia="仿宋"/>
          <w:color w:val="000000"/>
          <w:sz w:val="32"/>
          <w:highlight w:val="white"/>
          <w:lang w:val="en-US" w:eastAsia="zh-CN"/>
        </w:rPr>
        <w:t>2020年无</w:t>
      </w:r>
      <w:r>
        <w:rPr>
          <w:rFonts w:hint="eastAsia" w:ascii="仿宋" w:hAnsi="仿宋" w:eastAsia="仿宋"/>
          <w:color w:val="000000"/>
          <w:sz w:val="32"/>
          <w:highlight w:val="white"/>
          <w:lang w:val="en-US"/>
        </w:rPr>
        <w:t>公务用车购置及运行维护费支出；公务接待费支出决算为0.17万元，占100%，与2019年度相比，减少</w:t>
      </w:r>
      <w:r>
        <w:rPr>
          <w:rFonts w:hint="eastAsia" w:ascii="仿宋" w:hAnsi="仿宋" w:eastAsia="仿宋"/>
          <w:color w:val="000000"/>
          <w:sz w:val="32"/>
          <w:highlight w:val="white"/>
          <w:lang w:val="en-US" w:eastAsia="zh-CN"/>
        </w:rPr>
        <w:t>0.16</w:t>
      </w:r>
      <w:r>
        <w:rPr>
          <w:rFonts w:hint="eastAsia" w:ascii="仿宋" w:hAnsi="仿宋" w:eastAsia="仿宋"/>
          <w:color w:val="000000"/>
          <w:sz w:val="32"/>
          <w:highlight w:val="white"/>
          <w:lang w:val="en-US"/>
        </w:rPr>
        <w:t>万元，下降</w:t>
      </w:r>
      <w:r>
        <w:rPr>
          <w:rFonts w:hint="eastAsia" w:ascii="仿宋" w:hAnsi="仿宋" w:eastAsia="仿宋"/>
          <w:color w:val="000000"/>
          <w:sz w:val="32"/>
          <w:highlight w:val="white"/>
          <w:lang w:val="en-US" w:eastAsia="zh-CN"/>
        </w:rPr>
        <w:t>48.48</w:t>
      </w:r>
      <w:r>
        <w:rPr>
          <w:rFonts w:hint="eastAsia" w:ascii="仿宋" w:hAnsi="仿宋" w:eastAsia="仿宋"/>
          <w:color w:val="000000"/>
          <w:sz w:val="32"/>
          <w:highlight w:val="white"/>
          <w:lang w:val="en-US"/>
        </w:rPr>
        <w:t>%，主要原因是</w:t>
      </w:r>
      <w:r>
        <w:rPr>
          <w:rFonts w:hint="eastAsia" w:ascii="仿宋" w:hAnsi="仿宋" w:eastAsia="仿宋"/>
          <w:color w:val="000000"/>
          <w:sz w:val="32"/>
          <w:highlight w:val="white"/>
          <w:lang w:val="en-US" w:eastAsia="zh-CN"/>
        </w:rPr>
        <w:t>受新冠疫情影响公务接待减少</w:t>
      </w:r>
      <w:r>
        <w:rPr>
          <w:rFonts w:hint="eastAsia" w:ascii="仿宋" w:hAnsi="仿宋" w:eastAsia="仿宋"/>
          <w:color w:val="000000"/>
          <w:sz w:val="32"/>
          <w:highlight w:val="white"/>
          <w:lang w:val="en-US"/>
        </w:rPr>
        <w:t>。具体情况如下：</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（1）因公出国（境）费</w:t>
      </w:r>
      <w:r>
        <w:rPr>
          <w:rFonts w:hint="eastAsia" w:ascii="仿宋" w:hAnsi="仿宋" w:eastAsia="仿宋"/>
          <w:color w:val="000000"/>
          <w:sz w:val="32"/>
          <w:highlight w:val="white"/>
          <w:lang w:val="en-US"/>
        </w:rPr>
        <w:t>预算数为</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万元，支出决算为</w:t>
      </w:r>
      <w:r>
        <w:rPr>
          <w:rFonts w:hint="eastAsia" w:ascii="仿宋" w:hAnsi="仿宋" w:eastAsia="仿宋"/>
          <w:color w:val="auto"/>
          <w:sz w:val="30"/>
          <w:highlight w:val="white"/>
          <w:lang w:val="zh-CN"/>
        </w:rPr>
        <w:t>0</w:t>
      </w:r>
      <w:r>
        <w:rPr>
          <w:rFonts w:hint="eastAsia" w:ascii="仿宋" w:hAnsi="仿宋" w:eastAsia="仿宋"/>
          <w:color w:val="000000"/>
          <w:sz w:val="32"/>
          <w:highlight w:val="white"/>
          <w:lang w:val="en-US"/>
        </w:rPr>
        <w:t>万元。完成预算的</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%。主要用于机关及下属预算单位人员的公务出国（境）的住宿费、国际旅费、培训费、公杂费等支出。决算数</w:t>
      </w:r>
      <w:r>
        <w:rPr>
          <w:rFonts w:hint="eastAsia" w:ascii="仿宋" w:hAnsi="仿宋" w:eastAsia="仿宋"/>
          <w:color w:val="000000"/>
          <w:sz w:val="32"/>
          <w:highlight w:val="white"/>
          <w:lang w:val="en-US" w:eastAsia="zh-CN"/>
        </w:rPr>
        <w:t>等于</w:t>
      </w:r>
      <w:r>
        <w:rPr>
          <w:rFonts w:hint="eastAsia" w:ascii="仿宋" w:hAnsi="仿宋" w:eastAsia="仿宋"/>
          <w:color w:val="000000"/>
          <w:sz w:val="32"/>
          <w:highlight w:val="white"/>
          <w:lang w:val="en-US"/>
        </w:rPr>
        <w:t>预算数的主要原因是</w:t>
      </w:r>
      <w:r>
        <w:rPr>
          <w:rFonts w:hint="eastAsia" w:ascii="仿宋" w:hAnsi="仿宋" w:eastAsia="仿宋"/>
          <w:color w:val="000000"/>
          <w:sz w:val="32"/>
          <w:highlight w:val="white"/>
          <w:lang w:val="en-US" w:eastAsia="zh-CN"/>
        </w:rPr>
        <w:t>2020年无</w:t>
      </w:r>
      <w:r>
        <w:rPr>
          <w:rFonts w:hint="eastAsia" w:ascii="仿宋" w:hAnsi="仿宋" w:eastAsia="仿宋"/>
          <w:color w:val="000000"/>
          <w:sz w:val="32"/>
          <w:highlight w:val="white"/>
          <w:lang w:val="en-US"/>
        </w:rPr>
        <w:t>因公出国（境）</w:t>
      </w:r>
      <w:r>
        <w:rPr>
          <w:rFonts w:hint="eastAsia" w:ascii="仿宋" w:hAnsi="仿宋" w:eastAsia="仿宋"/>
          <w:color w:val="000000"/>
          <w:sz w:val="32"/>
          <w:highlight w:val="white"/>
          <w:lang w:val="en-US" w:eastAsia="zh-CN"/>
        </w:rPr>
        <w:t>人员</w:t>
      </w:r>
      <w:r>
        <w:rPr>
          <w:rFonts w:hint="eastAsia" w:ascii="仿宋" w:hAnsi="仿宋" w:eastAsia="仿宋"/>
          <w:color w:val="000000"/>
          <w:sz w:val="32"/>
          <w:highlight w:val="white"/>
          <w:lang w:val="en-US"/>
        </w:rPr>
        <w:t>。全年使用一般公共预算财政拨款支出涉及因公出国(境)团组0个；累计</w:t>
      </w:r>
      <w:r>
        <w:rPr>
          <w:rFonts w:hint="eastAsia" w:ascii="仿宋" w:hAnsi="仿宋" w:eastAsia="仿宋"/>
          <w:color w:val="auto"/>
          <w:sz w:val="30"/>
          <w:highlight w:val="white"/>
          <w:lang w:val="zh-CN"/>
        </w:rPr>
        <w:t>0</w:t>
      </w:r>
      <w:r>
        <w:rPr>
          <w:rFonts w:hint="eastAsia" w:ascii="仿宋" w:hAnsi="仿宋" w:eastAsia="仿宋"/>
          <w:color w:val="000000"/>
          <w:sz w:val="32"/>
          <w:highlight w:val="white"/>
          <w:lang w:val="en-US"/>
        </w:rPr>
        <w:t>人次。</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（2）公务用车购置及运行维护费</w:t>
      </w:r>
      <w:r>
        <w:rPr>
          <w:rFonts w:hint="eastAsia" w:ascii="仿宋" w:hAnsi="仿宋" w:eastAsia="仿宋"/>
          <w:color w:val="000000"/>
          <w:sz w:val="32"/>
          <w:highlight w:val="white"/>
          <w:lang w:val="en-US"/>
        </w:rPr>
        <w:t>预算数为</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万元，支出决算为0万元，完成预算的</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%。决算数小于</w:t>
      </w:r>
      <w:r>
        <w:rPr>
          <w:rFonts w:hint="eastAsia" w:ascii="仿宋" w:hAnsi="仿宋" w:eastAsia="仿宋"/>
          <w:color w:val="000000"/>
          <w:sz w:val="32"/>
          <w:highlight w:val="white"/>
          <w:lang w:val="en-US" w:eastAsia="zh-CN"/>
        </w:rPr>
        <w:t>等于</w:t>
      </w:r>
      <w:r>
        <w:rPr>
          <w:rFonts w:hint="eastAsia" w:ascii="仿宋" w:hAnsi="仿宋" w:eastAsia="仿宋"/>
          <w:color w:val="000000"/>
          <w:sz w:val="32"/>
          <w:highlight w:val="white"/>
          <w:lang w:val="en-US"/>
        </w:rPr>
        <w:t>预算数的主要原因是</w:t>
      </w:r>
      <w:r>
        <w:rPr>
          <w:rFonts w:hint="eastAsia" w:ascii="仿宋" w:hAnsi="仿宋" w:eastAsia="仿宋"/>
          <w:color w:val="000000"/>
          <w:sz w:val="32"/>
          <w:highlight w:val="white"/>
          <w:lang w:val="en-US" w:eastAsia="zh-CN"/>
        </w:rPr>
        <w:t>2020年无</w:t>
      </w:r>
      <w:r>
        <w:rPr>
          <w:rFonts w:hint="eastAsia" w:ascii="仿宋" w:hAnsi="仿宋" w:eastAsia="仿宋"/>
          <w:color w:val="000000"/>
          <w:sz w:val="32"/>
          <w:highlight w:val="white"/>
          <w:lang w:val="en-US"/>
        </w:rPr>
        <w:t>公务用车购置及运行维护费支出。</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公务用车购置</w:t>
      </w:r>
      <w:r>
        <w:rPr>
          <w:rFonts w:hint="eastAsia" w:ascii="仿宋" w:hAnsi="仿宋" w:eastAsia="仿宋"/>
          <w:color w:val="000000"/>
          <w:sz w:val="32"/>
          <w:highlight w:val="white"/>
          <w:lang w:val="en-US"/>
        </w:rPr>
        <w:t>预算数为</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万元，支出决算为</w:t>
      </w:r>
      <w:r>
        <w:rPr>
          <w:rFonts w:hint="eastAsia" w:ascii="仿宋" w:hAnsi="仿宋" w:eastAsia="仿宋"/>
          <w:color w:val="auto"/>
          <w:sz w:val="30"/>
          <w:highlight w:val="white"/>
          <w:lang w:val="zh-CN"/>
        </w:rPr>
        <w:t>0</w:t>
      </w:r>
      <w:r>
        <w:rPr>
          <w:rFonts w:hint="eastAsia" w:ascii="仿宋" w:hAnsi="仿宋" w:eastAsia="仿宋"/>
          <w:color w:val="000000"/>
          <w:sz w:val="32"/>
          <w:highlight w:val="white"/>
          <w:lang w:val="en-US"/>
        </w:rPr>
        <w:t>万元（含购置税等附加费用），完成预算的</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%。决算数</w:t>
      </w:r>
      <w:r>
        <w:rPr>
          <w:rFonts w:hint="eastAsia" w:ascii="仿宋" w:hAnsi="仿宋" w:eastAsia="仿宋"/>
          <w:color w:val="000000"/>
          <w:sz w:val="32"/>
          <w:highlight w:val="white"/>
          <w:lang w:val="en-US" w:eastAsia="zh-CN"/>
        </w:rPr>
        <w:t>等于</w:t>
      </w:r>
      <w:r>
        <w:rPr>
          <w:rFonts w:hint="eastAsia" w:ascii="仿宋" w:hAnsi="仿宋" w:eastAsia="仿宋"/>
          <w:color w:val="000000"/>
          <w:sz w:val="32"/>
          <w:highlight w:val="white"/>
          <w:lang w:val="en-US"/>
        </w:rPr>
        <w:t>预算数的主要原因是</w:t>
      </w:r>
      <w:r>
        <w:rPr>
          <w:rFonts w:hint="eastAsia" w:ascii="仿宋" w:hAnsi="仿宋" w:eastAsia="仿宋"/>
          <w:color w:val="000000"/>
          <w:sz w:val="32"/>
          <w:highlight w:val="white"/>
          <w:lang w:val="en-US" w:eastAsia="zh-CN"/>
        </w:rPr>
        <w:t>2020年无公务用车购置</w:t>
      </w:r>
      <w:r>
        <w:rPr>
          <w:rFonts w:hint="eastAsia" w:ascii="仿宋" w:hAnsi="仿宋" w:eastAsia="仿宋"/>
          <w:color w:val="000000"/>
          <w:sz w:val="32"/>
          <w:highlight w:val="white"/>
          <w:lang w:val="en-US"/>
        </w:rPr>
        <w:t>。主要用于经批准购置的</w:t>
      </w:r>
      <w:r>
        <w:rPr>
          <w:rFonts w:hint="eastAsia" w:ascii="仿宋" w:hAnsi="仿宋" w:eastAsia="仿宋"/>
          <w:color w:val="auto"/>
          <w:sz w:val="30"/>
          <w:highlight w:val="white"/>
          <w:lang w:val="zh-CN"/>
        </w:rPr>
        <w:t>0</w:t>
      </w:r>
      <w:r>
        <w:rPr>
          <w:rFonts w:hint="eastAsia" w:ascii="仿宋" w:hAnsi="仿宋" w:eastAsia="仿宋"/>
          <w:color w:val="000000"/>
          <w:sz w:val="32"/>
          <w:highlight w:val="white"/>
          <w:lang w:val="en-US"/>
        </w:rPr>
        <w:t>辆公务用车；</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公务用车运行维护费</w:t>
      </w:r>
      <w:r>
        <w:rPr>
          <w:rFonts w:hint="eastAsia" w:ascii="仿宋" w:hAnsi="仿宋" w:eastAsia="仿宋"/>
          <w:color w:val="000000"/>
          <w:sz w:val="32"/>
          <w:highlight w:val="white"/>
          <w:lang w:val="en-US"/>
        </w:rPr>
        <w:t>预算数为</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万元，支出</w:t>
      </w:r>
      <w:r>
        <w:rPr>
          <w:rFonts w:hint="eastAsia" w:ascii="仿宋" w:hAnsi="仿宋" w:eastAsia="仿宋"/>
          <w:color w:val="auto"/>
          <w:sz w:val="30"/>
          <w:highlight w:val="white"/>
          <w:lang w:val="zh-CN"/>
        </w:rPr>
        <w:t>0</w:t>
      </w:r>
      <w:r>
        <w:rPr>
          <w:rFonts w:hint="eastAsia" w:ascii="仿宋" w:hAnsi="仿宋" w:eastAsia="仿宋"/>
          <w:color w:val="000000"/>
          <w:sz w:val="32"/>
          <w:highlight w:val="white"/>
          <w:lang w:val="en-US"/>
        </w:rPr>
        <w:t>万元，完成预算的</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%。决算数</w:t>
      </w:r>
      <w:r>
        <w:rPr>
          <w:rFonts w:hint="eastAsia" w:ascii="仿宋" w:hAnsi="仿宋" w:eastAsia="仿宋"/>
          <w:color w:val="000000"/>
          <w:sz w:val="32"/>
          <w:highlight w:val="white"/>
          <w:lang w:val="en-US" w:eastAsia="zh-CN"/>
        </w:rPr>
        <w:t>等于</w:t>
      </w:r>
      <w:r>
        <w:rPr>
          <w:rFonts w:hint="eastAsia" w:ascii="仿宋" w:hAnsi="仿宋" w:eastAsia="仿宋"/>
          <w:color w:val="000000"/>
          <w:sz w:val="32"/>
          <w:highlight w:val="white"/>
          <w:lang w:val="en-US"/>
        </w:rPr>
        <w:t>预算数的主要原因是</w:t>
      </w:r>
      <w:r>
        <w:rPr>
          <w:rFonts w:hint="eastAsia" w:ascii="仿宋" w:hAnsi="仿宋" w:eastAsia="仿宋"/>
          <w:color w:val="000000"/>
          <w:sz w:val="32"/>
          <w:highlight w:val="white"/>
          <w:lang w:val="en-US" w:eastAsia="zh-CN"/>
        </w:rPr>
        <w:t>2020年无</w:t>
      </w:r>
      <w:r>
        <w:rPr>
          <w:rFonts w:hint="eastAsia" w:ascii="仿宋" w:hAnsi="仿宋" w:eastAsia="仿宋"/>
          <w:color w:val="000000"/>
          <w:sz w:val="32"/>
          <w:highlight w:val="white"/>
          <w:lang w:val="en-US"/>
        </w:rPr>
        <w:t>公务用车运行维护费。主要用于公务用车燃料费、维修费、过路过桥费、保险费、安全奖励费用等支出；2020年度，本级及所属单位开支一般公共预算财政拨款的公务用车保有量为</w:t>
      </w:r>
      <w:r>
        <w:rPr>
          <w:rFonts w:hint="eastAsia" w:ascii="仿宋" w:hAnsi="仿宋" w:eastAsia="仿宋"/>
          <w:color w:val="auto"/>
          <w:sz w:val="30"/>
          <w:highlight w:val="white"/>
          <w:lang w:val="zh-CN"/>
        </w:rPr>
        <w:t>0</w:t>
      </w:r>
      <w:r>
        <w:rPr>
          <w:rFonts w:hint="eastAsia" w:ascii="仿宋" w:hAnsi="仿宋" w:eastAsia="仿宋"/>
          <w:color w:val="000000"/>
          <w:sz w:val="32"/>
          <w:highlight w:val="white"/>
          <w:lang w:val="en-US"/>
        </w:rPr>
        <w:t>辆。</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（3）公务接待费</w:t>
      </w:r>
      <w:r>
        <w:rPr>
          <w:rFonts w:hint="eastAsia" w:ascii="仿宋" w:hAnsi="仿宋" w:eastAsia="仿宋"/>
          <w:color w:val="000000"/>
          <w:sz w:val="32"/>
          <w:highlight w:val="white"/>
          <w:lang w:val="en-US"/>
        </w:rPr>
        <w:t>预算数为</w:t>
      </w:r>
      <w:r>
        <w:rPr>
          <w:rFonts w:hint="eastAsia" w:ascii="仿宋" w:hAnsi="仿宋" w:eastAsia="仿宋"/>
          <w:color w:val="000000"/>
          <w:sz w:val="32"/>
          <w:highlight w:val="white"/>
          <w:lang w:val="en-US" w:eastAsia="zh-CN"/>
        </w:rPr>
        <w:t>0.9</w:t>
      </w:r>
      <w:r>
        <w:rPr>
          <w:rFonts w:hint="eastAsia" w:ascii="仿宋" w:hAnsi="仿宋" w:eastAsia="仿宋"/>
          <w:color w:val="000000"/>
          <w:sz w:val="32"/>
          <w:highlight w:val="white"/>
          <w:lang w:val="en-US"/>
        </w:rPr>
        <w:t>万元，支出决算为0.17万元，完成预算的</w:t>
      </w:r>
      <w:r>
        <w:rPr>
          <w:rFonts w:hint="eastAsia" w:ascii="仿宋" w:hAnsi="仿宋" w:eastAsia="仿宋"/>
          <w:color w:val="000000"/>
          <w:sz w:val="32"/>
          <w:highlight w:val="white"/>
          <w:lang w:val="en-US" w:eastAsia="zh-CN"/>
        </w:rPr>
        <w:t>18.89</w:t>
      </w:r>
      <w:r>
        <w:rPr>
          <w:rFonts w:hint="eastAsia" w:ascii="仿宋" w:hAnsi="仿宋" w:eastAsia="仿宋"/>
          <w:color w:val="000000"/>
          <w:sz w:val="32"/>
          <w:highlight w:val="white"/>
          <w:lang w:val="en-US"/>
        </w:rPr>
        <w:t>%。主要用于接待</w:t>
      </w:r>
      <w:r>
        <w:rPr>
          <w:rFonts w:hint="eastAsia" w:ascii="仿宋" w:hAnsi="仿宋" w:eastAsia="仿宋"/>
          <w:color w:val="000000"/>
          <w:sz w:val="32"/>
          <w:highlight w:val="white"/>
          <w:lang w:val="en-US" w:eastAsia="zh-CN"/>
        </w:rPr>
        <w:t>上级和各县市等有关单位</w:t>
      </w:r>
      <w:r>
        <w:rPr>
          <w:rFonts w:hint="eastAsia" w:ascii="仿宋" w:hAnsi="仿宋" w:eastAsia="仿宋"/>
          <w:color w:val="000000"/>
          <w:sz w:val="32"/>
          <w:highlight w:val="white"/>
          <w:lang w:val="en-US"/>
        </w:rPr>
        <w:t>等支出。决算数小于预算数的主要原因是</w:t>
      </w:r>
      <w:r>
        <w:rPr>
          <w:rFonts w:hint="eastAsia" w:ascii="仿宋" w:hAnsi="仿宋" w:eastAsia="仿宋"/>
          <w:color w:val="000000"/>
          <w:sz w:val="32"/>
          <w:highlight w:val="white"/>
          <w:lang w:val="en-US" w:eastAsia="zh-CN"/>
        </w:rPr>
        <w:t>受新冠疫情影响公务接待批次减少</w:t>
      </w:r>
      <w:r>
        <w:rPr>
          <w:rFonts w:hint="eastAsia" w:ascii="仿宋" w:hAnsi="仿宋" w:eastAsia="仿宋"/>
          <w:color w:val="000000"/>
          <w:sz w:val="32"/>
          <w:highlight w:val="white"/>
          <w:lang w:val="en-US"/>
        </w:rPr>
        <w:t>全年使用一般公共预算财政拨款国内公务接待5团组，累计24人次。</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外宾接待</w:t>
      </w:r>
      <w:r>
        <w:rPr>
          <w:rFonts w:hint="eastAsia" w:ascii="仿宋" w:hAnsi="仿宋" w:eastAsia="仿宋"/>
          <w:color w:val="000000"/>
          <w:sz w:val="32"/>
          <w:highlight w:val="white"/>
          <w:lang w:val="en-US"/>
        </w:rPr>
        <w:t>支出0万元，主要用于外宾接待</w:t>
      </w:r>
      <w:r>
        <w:rPr>
          <w:rFonts w:hint="eastAsia" w:ascii="仿宋" w:hAnsi="仿宋" w:eastAsia="仿宋"/>
          <w:color w:val="000000"/>
          <w:sz w:val="32"/>
          <w:highlight w:val="white"/>
          <w:lang w:val="en-US" w:eastAsia="zh-CN"/>
        </w:rPr>
        <w:t>；</w:t>
      </w:r>
      <w:r>
        <w:rPr>
          <w:rFonts w:hint="eastAsia" w:ascii="仿宋" w:hAnsi="仿宋" w:eastAsia="仿宋"/>
          <w:color w:val="000000"/>
          <w:sz w:val="32"/>
          <w:highlight w:val="white"/>
          <w:lang w:val="en-US"/>
        </w:rPr>
        <w:t>接待0团组，0人次。</w:t>
      </w:r>
    </w:p>
    <w:p>
      <w:pPr>
        <w:spacing w:beforeLines="0" w:afterLines="0" w:line="324" w:lineRule="auto"/>
        <w:ind w:firstLine="594"/>
        <w:rPr>
          <w:rFonts w:hint="default" w:ascii="Times New Roman" w:hAnsi="Times New Roman" w:eastAsia="Times New Roman"/>
          <w:color w:val="000000"/>
          <w:sz w:val="32"/>
          <w:highlight w:val="white"/>
          <w:lang w:val="en-US"/>
        </w:rPr>
      </w:pPr>
      <w:r>
        <w:rPr>
          <w:rFonts w:hint="eastAsia" w:ascii="仿宋" w:hAnsi="仿宋" w:eastAsia="仿宋"/>
          <w:b/>
          <w:color w:val="000000"/>
          <w:sz w:val="32"/>
          <w:highlight w:val="white"/>
          <w:lang w:val="en-US"/>
        </w:rPr>
        <w:t>其他国内公务接待</w:t>
      </w:r>
      <w:r>
        <w:rPr>
          <w:rFonts w:hint="eastAsia" w:ascii="仿宋" w:hAnsi="仿宋" w:eastAsia="仿宋"/>
          <w:color w:val="000000"/>
          <w:sz w:val="32"/>
          <w:highlight w:val="white"/>
          <w:lang w:val="en-US"/>
        </w:rPr>
        <w:t>支出0.17万元，主要用于</w:t>
      </w:r>
      <w:r>
        <w:rPr>
          <w:rFonts w:hint="eastAsia" w:ascii="仿宋" w:hAnsi="仿宋" w:eastAsia="仿宋"/>
          <w:color w:val="000000"/>
          <w:sz w:val="32"/>
          <w:highlight w:val="white"/>
          <w:lang w:val="en-US" w:eastAsia="zh-CN"/>
        </w:rPr>
        <w:t>上级和各县市等有关单位的接待支出；</w:t>
      </w:r>
      <w:r>
        <w:rPr>
          <w:rFonts w:hint="eastAsia" w:ascii="仿宋" w:hAnsi="仿宋" w:eastAsia="仿宋"/>
          <w:color w:val="000000"/>
          <w:sz w:val="32"/>
          <w:highlight w:val="white"/>
          <w:lang w:val="en-US"/>
        </w:rPr>
        <w:t>接待5团组，24人次。</w:t>
      </w:r>
    </w:p>
    <w:p>
      <w:pPr>
        <w:spacing w:beforeLines="0" w:afterLines="0" w:line="324" w:lineRule="auto"/>
        <w:ind w:firstLine="594"/>
        <w:rPr>
          <w:rFonts w:hint="eastAsia" w:ascii="仿宋" w:hAnsi="仿宋" w:eastAsia="仿宋"/>
          <w:color w:val="000000"/>
          <w:sz w:val="32"/>
          <w:highlight w:val="white"/>
          <w:lang w:val="en-US"/>
        </w:rPr>
      </w:pPr>
      <w:r>
        <w:rPr>
          <w:rFonts w:hint="eastAsia" w:ascii="楷体" w:hAnsi="楷体" w:eastAsia="楷体"/>
          <w:b/>
          <w:color w:val="000000"/>
          <w:sz w:val="32"/>
          <w:highlight w:val="white"/>
          <w:lang w:val="en-US"/>
        </w:rPr>
        <w:t>（十）机关运行经费支出说明</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2020年度机关运行经费年初预算数为</w:t>
      </w:r>
      <w:r>
        <w:rPr>
          <w:rFonts w:hint="eastAsia" w:ascii="仿宋" w:hAnsi="仿宋" w:eastAsia="仿宋"/>
          <w:color w:val="000000"/>
          <w:sz w:val="32"/>
          <w:highlight w:val="white"/>
          <w:lang w:val="en-US" w:eastAsia="zh-CN"/>
        </w:rPr>
        <w:t>24.12</w:t>
      </w:r>
      <w:r>
        <w:rPr>
          <w:rFonts w:hint="eastAsia" w:ascii="仿宋" w:hAnsi="仿宋" w:eastAsia="仿宋"/>
          <w:color w:val="000000"/>
          <w:sz w:val="32"/>
          <w:highlight w:val="white"/>
          <w:lang w:val="en-US"/>
        </w:rPr>
        <w:t>万元，支出决算为</w:t>
      </w:r>
      <w:r>
        <w:rPr>
          <w:rFonts w:hint="eastAsia" w:ascii="仿宋" w:hAnsi="仿宋" w:eastAsia="仿宋"/>
          <w:color w:val="auto"/>
          <w:kern w:val="0"/>
          <w:sz w:val="32"/>
          <w:highlight w:val="white"/>
          <w:lang w:val="en-US"/>
        </w:rPr>
        <w:t>19.18</w:t>
      </w:r>
      <w:r>
        <w:rPr>
          <w:rFonts w:hint="eastAsia" w:ascii="仿宋" w:hAnsi="仿宋" w:eastAsia="仿宋"/>
          <w:color w:val="000000"/>
          <w:sz w:val="32"/>
          <w:highlight w:val="white"/>
          <w:lang w:val="en-US"/>
        </w:rPr>
        <w:t>万元，完成年初预算的</w:t>
      </w:r>
      <w:r>
        <w:rPr>
          <w:rFonts w:hint="eastAsia" w:ascii="仿宋" w:hAnsi="仿宋" w:eastAsia="仿宋"/>
          <w:color w:val="000000"/>
          <w:sz w:val="32"/>
          <w:highlight w:val="white"/>
          <w:lang w:val="en-US" w:eastAsia="zh-CN"/>
        </w:rPr>
        <w:t>79.52</w:t>
      </w:r>
      <w:r>
        <w:rPr>
          <w:rFonts w:hint="eastAsia" w:ascii="仿宋" w:hAnsi="仿宋" w:eastAsia="仿宋"/>
          <w:color w:val="000000"/>
          <w:sz w:val="32"/>
          <w:highlight w:val="white"/>
          <w:lang w:val="en-US"/>
        </w:rPr>
        <w:t>%，决算数小于预算数的主要原因</w:t>
      </w:r>
      <w:r>
        <w:rPr>
          <w:rFonts w:hint="eastAsia" w:ascii="仿宋" w:hAnsi="仿宋" w:eastAsia="仿宋"/>
          <w:color w:val="000000"/>
          <w:sz w:val="32"/>
          <w:highlight w:val="white"/>
          <w:lang w:val="en-US" w:eastAsia="zh-CN"/>
        </w:rPr>
        <w:t>经费结余</w:t>
      </w:r>
      <w:r>
        <w:rPr>
          <w:rFonts w:hint="eastAsia" w:ascii="仿宋" w:hAnsi="仿宋" w:eastAsia="仿宋"/>
          <w:color w:val="000000"/>
          <w:sz w:val="32"/>
          <w:highlight w:val="white"/>
          <w:lang w:val="en-US"/>
        </w:rPr>
        <w:t>；比2019年度增加</w:t>
      </w:r>
      <w:r>
        <w:rPr>
          <w:rFonts w:hint="eastAsia" w:ascii="仿宋" w:hAnsi="仿宋" w:eastAsia="仿宋"/>
          <w:color w:val="000000"/>
          <w:sz w:val="32"/>
          <w:highlight w:val="white"/>
          <w:lang w:val="en-US" w:eastAsia="zh-CN"/>
        </w:rPr>
        <w:t>0.84</w:t>
      </w:r>
      <w:r>
        <w:rPr>
          <w:rFonts w:hint="eastAsia" w:ascii="仿宋" w:hAnsi="仿宋" w:eastAsia="仿宋"/>
          <w:color w:val="000000"/>
          <w:sz w:val="32"/>
          <w:highlight w:val="white"/>
          <w:lang w:val="en-US"/>
        </w:rPr>
        <w:t>万元，增长</w:t>
      </w:r>
      <w:r>
        <w:rPr>
          <w:rFonts w:hint="eastAsia" w:ascii="仿宋" w:hAnsi="仿宋" w:eastAsia="仿宋"/>
          <w:color w:val="000000"/>
          <w:sz w:val="32"/>
          <w:highlight w:val="white"/>
          <w:lang w:val="en-US" w:eastAsia="zh-CN"/>
        </w:rPr>
        <w:t>4.58</w:t>
      </w:r>
      <w:r>
        <w:rPr>
          <w:rFonts w:hint="eastAsia" w:ascii="仿宋" w:hAnsi="仿宋" w:eastAsia="仿宋"/>
          <w:color w:val="000000"/>
          <w:sz w:val="32"/>
          <w:highlight w:val="white"/>
          <w:lang w:val="en-US"/>
        </w:rPr>
        <w:t>%，主要原因是</w:t>
      </w:r>
      <w:r>
        <w:rPr>
          <w:rFonts w:hint="eastAsia" w:ascii="仿宋" w:hAnsi="仿宋" w:eastAsia="仿宋"/>
          <w:color w:val="000000"/>
          <w:sz w:val="32"/>
          <w:highlight w:val="white"/>
          <w:lang w:val="en-US" w:eastAsia="zh-CN"/>
        </w:rPr>
        <w:t>人员经费支出调整</w:t>
      </w:r>
      <w:r>
        <w:rPr>
          <w:rFonts w:hint="eastAsia" w:ascii="仿宋" w:hAnsi="仿宋" w:eastAsia="仿宋"/>
          <w:color w:val="000000"/>
          <w:sz w:val="32"/>
          <w:highlight w:val="white"/>
          <w:lang w:val="en-US"/>
        </w:rPr>
        <w:t>。</w:t>
      </w:r>
    </w:p>
    <w:p>
      <w:pPr>
        <w:spacing w:beforeLines="0" w:afterLines="0" w:line="324" w:lineRule="auto"/>
        <w:ind w:firstLine="594"/>
        <w:rPr>
          <w:rFonts w:hint="eastAsia" w:ascii="楷体" w:hAnsi="楷体" w:eastAsia="楷体"/>
          <w:b/>
          <w:color w:val="000000"/>
          <w:sz w:val="32"/>
          <w:highlight w:val="white"/>
          <w:lang w:val="en-US"/>
        </w:rPr>
      </w:pPr>
      <w:r>
        <w:rPr>
          <w:rFonts w:hint="eastAsia" w:ascii="楷体" w:hAnsi="楷体" w:eastAsia="楷体"/>
          <w:b/>
          <w:color w:val="000000"/>
          <w:sz w:val="32"/>
          <w:highlight w:val="white"/>
          <w:lang w:val="en-US"/>
        </w:rPr>
        <w:t>（十一）政府采购支出说明</w:t>
      </w:r>
    </w:p>
    <w:p>
      <w:pPr>
        <w:spacing w:beforeLines="0" w:afterLines="0" w:line="324" w:lineRule="auto"/>
        <w:ind w:firstLine="594"/>
        <w:rPr>
          <w:rFonts w:hint="eastAsia" w:ascii="仿宋" w:hAnsi="仿宋" w:eastAsia="仿宋"/>
          <w:color w:val="auto"/>
          <w:sz w:val="32"/>
          <w:highlight w:val="white"/>
          <w:lang w:val="en-US"/>
        </w:rPr>
      </w:pPr>
      <w:r>
        <w:rPr>
          <w:rFonts w:hint="eastAsia" w:ascii="仿宋" w:hAnsi="仿宋" w:eastAsia="仿宋"/>
          <w:color w:val="000000"/>
          <w:sz w:val="32"/>
          <w:highlight w:val="white"/>
          <w:lang w:val="en-US"/>
        </w:rPr>
        <w:t>2020年度政府采购支出总额</w:t>
      </w:r>
      <w:r>
        <w:rPr>
          <w:rFonts w:hint="eastAsia" w:ascii="仿宋" w:hAnsi="仿宋" w:eastAsia="仿宋"/>
          <w:color w:val="auto"/>
          <w:kern w:val="0"/>
          <w:sz w:val="32"/>
          <w:highlight w:val="white"/>
          <w:lang w:val="en-US"/>
        </w:rPr>
        <w:t>8.16</w:t>
      </w:r>
      <w:r>
        <w:rPr>
          <w:rFonts w:hint="eastAsia" w:ascii="仿宋" w:hAnsi="仿宋" w:eastAsia="仿宋"/>
          <w:color w:val="000000"/>
          <w:sz w:val="32"/>
          <w:highlight w:val="white"/>
          <w:lang w:val="en-US"/>
        </w:rPr>
        <w:t>万元，其中：政府采购货物支出</w:t>
      </w:r>
      <w:r>
        <w:rPr>
          <w:rFonts w:hint="eastAsia" w:ascii="仿宋" w:hAnsi="仿宋" w:eastAsia="仿宋"/>
          <w:color w:val="auto"/>
          <w:kern w:val="0"/>
          <w:sz w:val="32"/>
          <w:highlight w:val="white"/>
          <w:lang w:val="en-US"/>
        </w:rPr>
        <w:t>0</w:t>
      </w:r>
      <w:r>
        <w:rPr>
          <w:rFonts w:hint="eastAsia" w:ascii="仿宋" w:hAnsi="仿宋" w:eastAsia="仿宋"/>
          <w:color w:val="000000"/>
          <w:sz w:val="32"/>
          <w:highlight w:val="white"/>
          <w:lang w:val="en-US"/>
        </w:rPr>
        <w:t>万元、政府采购工程支出</w:t>
      </w:r>
      <w:r>
        <w:rPr>
          <w:rFonts w:hint="eastAsia" w:ascii="仿宋" w:hAnsi="仿宋" w:eastAsia="仿宋"/>
          <w:color w:val="auto"/>
          <w:kern w:val="0"/>
          <w:sz w:val="32"/>
          <w:highlight w:val="white"/>
          <w:lang w:val="en-US"/>
        </w:rPr>
        <w:t>0</w:t>
      </w:r>
      <w:r>
        <w:rPr>
          <w:rFonts w:hint="eastAsia" w:ascii="仿宋" w:hAnsi="仿宋" w:eastAsia="仿宋"/>
          <w:color w:val="000000"/>
          <w:sz w:val="32"/>
          <w:highlight w:val="white"/>
          <w:lang w:val="en-US"/>
        </w:rPr>
        <w:t>万元、政府采购服务支出</w:t>
      </w:r>
      <w:r>
        <w:rPr>
          <w:rFonts w:hint="eastAsia" w:ascii="仿宋" w:hAnsi="仿宋" w:eastAsia="仿宋"/>
          <w:color w:val="auto"/>
          <w:kern w:val="0"/>
          <w:sz w:val="32"/>
          <w:highlight w:val="white"/>
          <w:lang w:val="en-US"/>
        </w:rPr>
        <w:t>8.16</w:t>
      </w:r>
      <w:r>
        <w:rPr>
          <w:rFonts w:hint="eastAsia" w:ascii="仿宋" w:hAnsi="仿宋" w:eastAsia="仿宋"/>
          <w:color w:val="000000"/>
          <w:sz w:val="32"/>
          <w:highlight w:val="white"/>
          <w:lang w:val="en-US"/>
        </w:rPr>
        <w:t>万元。</w:t>
      </w:r>
      <w:r>
        <w:rPr>
          <w:rFonts w:hint="eastAsia" w:ascii="仿宋" w:hAnsi="仿宋" w:eastAsia="仿宋"/>
          <w:color w:val="auto"/>
          <w:sz w:val="32"/>
          <w:highlight w:val="white"/>
          <w:lang w:val="en-US"/>
        </w:rPr>
        <w:t>授予中小企业合同金额</w:t>
      </w:r>
      <w:r>
        <w:rPr>
          <w:rFonts w:hint="eastAsia" w:ascii="仿宋" w:hAnsi="仿宋" w:eastAsia="仿宋"/>
          <w:color w:val="auto"/>
          <w:kern w:val="0"/>
          <w:sz w:val="32"/>
          <w:highlight w:val="white"/>
          <w:lang w:val="en-US"/>
        </w:rPr>
        <w:t>8.16</w:t>
      </w:r>
      <w:r>
        <w:rPr>
          <w:rFonts w:hint="eastAsia" w:ascii="仿宋" w:hAnsi="仿宋" w:eastAsia="仿宋"/>
          <w:color w:val="auto"/>
          <w:sz w:val="32"/>
          <w:highlight w:val="white"/>
          <w:lang w:val="en-US"/>
        </w:rPr>
        <w:t>万元，占政府采购支出总额的</w:t>
      </w:r>
      <w:r>
        <w:rPr>
          <w:rFonts w:hint="eastAsia" w:ascii="仿宋" w:hAnsi="仿宋" w:eastAsia="仿宋"/>
          <w:color w:val="auto"/>
          <w:kern w:val="0"/>
          <w:sz w:val="32"/>
          <w:highlight w:val="white"/>
          <w:lang w:val="en-US"/>
        </w:rPr>
        <w:t>100</w:t>
      </w:r>
      <w:r>
        <w:rPr>
          <w:rFonts w:hint="eastAsia" w:ascii="仿宋" w:hAnsi="仿宋" w:eastAsia="仿宋"/>
          <w:color w:val="auto"/>
          <w:sz w:val="32"/>
          <w:highlight w:val="white"/>
          <w:lang w:val="en-US"/>
        </w:rPr>
        <w:t>%。</w:t>
      </w:r>
      <w:r>
        <w:rPr>
          <w:rFonts w:hint="eastAsia" w:ascii="仿宋" w:hAnsi="仿宋" w:eastAsia="仿宋"/>
          <w:color w:val="000000"/>
          <w:sz w:val="32"/>
          <w:highlight w:val="white"/>
          <w:lang w:val="en-US"/>
        </w:rPr>
        <w:t>其中，授予小微企业合同金额</w:t>
      </w:r>
      <w:r>
        <w:rPr>
          <w:rFonts w:hint="eastAsia" w:ascii="仿宋" w:hAnsi="仿宋" w:eastAsia="仿宋"/>
          <w:color w:val="auto"/>
          <w:kern w:val="0"/>
          <w:sz w:val="32"/>
          <w:highlight w:val="white"/>
          <w:lang w:val="en-US"/>
        </w:rPr>
        <w:t>0</w:t>
      </w:r>
      <w:r>
        <w:rPr>
          <w:rFonts w:hint="eastAsia" w:ascii="仿宋" w:hAnsi="仿宋" w:eastAsia="仿宋"/>
          <w:color w:val="000000"/>
          <w:sz w:val="32"/>
          <w:highlight w:val="white"/>
          <w:lang w:val="en-US"/>
        </w:rPr>
        <w:t>万元，占政府采购支出总额的</w:t>
      </w:r>
      <w:r>
        <w:rPr>
          <w:rFonts w:hint="eastAsia" w:ascii="仿宋" w:hAnsi="仿宋" w:eastAsia="仿宋"/>
          <w:color w:val="auto"/>
          <w:kern w:val="0"/>
          <w:sz w:val="32"/>
          <w:highlight w:val="white"/>
          <w:lang w:val="en-US"/>
        </w:rPr>
        <w:t>0</w:t>
      </w:r>
      <w:r>
        <w:rPr>
          <w:rFonts w:hint="eastAsia" w:ascii="仿宋" w:hAnsi="仿宋" w:eastAsia="仿宋"/>
          <w:color w:val="auto"/>
          <w:sz w:val="32"/>
          <w:highlight w:val="white"/>
          <w:lang w:val="en-US"/>
        </w:rPr>
        <w:t>%。</w:t>
      </w:r>
    </w:p>
    <w:p>
      <w:pPr>
        <w:spacing w:beforeLines="0" w:afterLines="0" w:line="324" w:lineRule="auto"/>
        <w:ind w:firstLine="594"/>
        <w:rPr>
          <w:rFonts w:hint="eastAsia" w:ascii="楷体" w:hAnsi="楷体" w:eastAsia="楷体"/>
          <w:b/>
          <w:color w:val="000000"/>
          <w:sz w:val="32"/>
          <w:highlight w:val="white"/>
          <w:lang w:val="en-US"/>
        </w:rPr>
      </w:pPr>
      <w:r>
        <w:rPr>
          <w:rFonts w:hint="eastAsia" w:ascii="楷体" w:hAnsi="楷体" w:eastAsia="楷体"/>
          <w:b/>
          <w:color w:val="000000"/>
          <w:sz w:val="32"/>
          <w:highlight w:val="white"/>
          <w:lang w:val="en-US"/>
        </w:rPr>
        <w:t>（十二）国有资产占有情况说明</w:t>
      </w:r>
    </w:p>
    <w:p>
      <w:pPr>
        <w:spacing w:beforeLines="0" w:afterLines="0" w:line="324" w:lineRule="auto"/>
        <w:ind w:firstLine="594"/>
        <w:rPr>
          <w:rFonts w:hint="eastAsia" w:ascii="楷体" w:hAnsi="楷体" w:eastAsia="楷体"/>
          <w:b/>
          <w:color w:val="000000"/>
          <w:sz w:val="32"/>
          <w:highlight w:val="white"/>
          <w:lang w:val="en-US"/>
        </w:rPr>
      </w:pPr>
      <w:r>
        <w:rPr>
          <w:rFonts w:hint="eastAsia" w:ascii="仿宋" w:hAnsi="仿宋" w:eastAsia="仿宋"/>
          <w:color w:val="000000"/>
          <w:sz w:val="32"/>
          <w:highlight w:val="white"/>
          <w:lang w:val="en-US"/>
        </w:rPr>
        <w:t>截至2020年12月31日，</w:t>
      </w:r>
      <w:r>
        <w:rPr>
          <w:rFonts w:ascii="Times New Roman" w:hAnsi="Times New Roman" w:eastAsia="仿宋_GB2312" w:cs="Times New Roman"/>
          <w:bCs/>
          <w:color w:val="000000"/>
          <w:sz w:val="32"/>
          <w:szCs w:val="32"/>
        </w:rPr>
        <w:t>金华市林业有害生物</w:t>
      </w:r>
      <w:r>
        <w:rPr>
          <w:rFonts w:hint="eastAsia" w:ascii="Times New Roman" w:hAnsi="Times New Roman" w:eastAsia="仿宋_GB2312" w:cs="Times New Roman"/>
          <w:bCs/>
          <w:color w:val="000000"/>
          <w:sz w:val="32"/>
          <w:szCs w:val="32"/>
        </w:rPr>
        <w:t>防治检疫站</w:t>
      </w:r>
      <w:r>
        <w:rPr>
          <w:rFonts w:hint="eastAsia" w:ascii="仿宋" w:hAnsi="仿宋" w:eastAsia="仿宋"/>
          <w:color w:val="000000"/>
          <w:sz w:val="32"/>
          <w:highlight w:val="white"/>
          <w:lang w:val="en-US"/>
        </w:rPr>
        <w:t>共有车辆</w:t>
      </w:r>
      <w:r>
        <w:rPr>
          <w:rFonts w:hint="eastAsia" w:ascii="仿宋" w:hAnsi="仿宋" w:eastAsia="仿宋"/>
          <w:color w:val="auto"/>
          <w:kern w:val="0"/>
          <w:sz w:val="32"/>
          <w:highlight w:val="white"/>
          <w:lang w:val="en-US"/>
        </w:rPr>
        <w:t>0</w:t>
      </w:r>
      <w:r>
        <w:rPr>
          <w:rFonts w:hint="eastAsia" w:ascii="仿宋" w:hAnsi="仿宋" w:eastAsia="仿宋"/>
          <w:color w:val="000000"/>
          <w:sz w:val="32"/>
          <w:highlight w:val="white"/>
          <w:lang w:val="en-US"/>
        </w:rPr>
        <w:t>辆，其中，副部（省）级及以上领导用车</w:t>
      </w:r>
      <w:r>
        <w:rPr>
          <w:rFonts w:hint="eastAsia" w:ascii="仿宋" w:hAnsi="仿宋" w:eastAsia="仿宋"/>
          <w:color w:val="auto"/>
          <w:kern w:val="0"/>
          <w:sz w:val="32"/>
          <w:highlight w:val="white"/>
          <w:lang w:val="en-US"/>
        </w:rPr>
        <w:t>0</w:t>
      </w:r>
      <w:r>
        <w:rPr>
          <w:rFonts w:hint="eastAsia" w:ascii="仿宋" w:hAnsi="仿宋" w:eastAsia="仿宋"/>
          <w:color w:val="000000"/>
          <w:sz w:val="32"/>
          <w:highlight w:val="white"/>
          <w:lang w:val="en-US"/>
        </w:rPr>
        <w:t>辆、主要领导干部用车</w:t>
      </w:r>
      <w:r>
        <w:rPr>
          <w:rFonts w:hint="eastAsia" w:ascii="仿宋" w:hAnsi="仿宋" w:eastAsia="仿宋"/>
          <w:color w:val="auto"/>
          <w:kern w:val="0"/>
          <w:sz w:val="32"/>
          <w:highlight w:val="white"/>
          <w:lang w:val="en-US"/>
        </w:rPr>
        <w:t>0</w:t>
      </w:r>
      <w:r>
        <w:rPr>
          <w:rFonts w:hint="eastAsia" w:ascii="仿宋" w:hAnsi="仿宋" w:eastAsia="仿宋"/>
          <w:color w:val="000000"/>
          <w:sz w:val="32"/>
          <w:highlight w:val="white"/>
          <w:lang w:val="en-US"/>
        </w:rPr>
        <w:t>辆、机要通信用车</w:t>
      </w:r>
      <w:r>
        <w:rPr>
          <w:rFonts w:hint="eastAsia" w:ascii="仿宋" w:hAnsi="仿宋" w:eastAsia="仿宋"/>
          <w:color w:val="auto"/>
          <w:kern w:val="0"/>
          <w:sz w:val="32"/>
          <w:highlight w:val="white"/>
          <w:lang w:val="en-US"/>
        </w:rPr>
        <w:t>0</w:t>
      </w:r>
      <w:r>
        <w:rPr>
          <w:rFonts w:hint="eastAsia" w:ascii="仿宋" w:hAnsi="仿宋" w:eastAsia="仿宋"/>
          <w:color w:val="000000"/>
          <w:sz w:val="32"/>
          <w:highlight w:val="white"/>
          <w:lang w:val="en-US"/>
        </w:rPr>
        <w:t>辆、应急保障用车</w:t>
      </w:r>
      <w:r>
        <w:rPr>
          <w:rFonts w:hint="eastAsia" w:ascii="仿宋" w:hAnsi="仿宋" w:eastAsia="仿宋"/>
          <w:color w:val="auto"/>
          <w:kern w:val="0"/>
          <w:sz w:val="32"/>
          <w:highlight w:val="white"/>
          <w:lang w:val="en-US"/>
        </w:rPr>
        <w:t>0</w:t>
      </w:r>
      <w:r>
        <w:rPr>
          <w:rFonts w:hint="eastAsia" w:ascii="仿宋" w:hAnsi="仿宋" w:eastAsia="仿宋"/>
          <w:color w:val="000000"/>
          <w:sz w:val="32"/>
          <w:highlight w:val="white"/>
          <w:lang w:val="en-US"/>
        </w:rPr>
        <w:t>辆、执法执勤用车</w:t>
      </w:r>
      <w:r>
        <w:rPr>
          <w:rFonts w:hint="eastAsia" w:ascii="仿宋" w:hAnsi="仿宋" w:eastAsia="仿宋"/>
          <w:color w:val="auto"/>
          <w:kern w:val="0"/>
          <w:sz w:val="32"/>
          <w:highlight w:val="white"/>
          <w:lang w:val="en-US"/>
        </w:rPr>
        <w:t>0</w:t>
      </w:r>
      <w:r>
        <w:rPr>
          <w:rFonts w:hint="eastAsia" w:ascii="仿宋" w:hAnsi="仿宋" w:eastAsia="仿宋"/>
          <w:color w:val="000000"/>
          <w:sz w:val="32"/>
          <w:highlight w:val="white"/>
          <w:lang w:val="en-US"/>
        </w:rPr>
        <w:t>辆、特种专业技术用车</w:t>
      </w:r>
      <w:r>
        <w:rPr>
          <w:rFonts w:hint="eastAsia" w:ascii="仿宋" w:hAnsi="仿宋" w:eastAsia="仿宋"/>
          <w:color w:val="auto"/>
          <w:kern w:val="0"/>
          <w:sz w:val="32"/>
          <w:highlight w:val="white"/>
          <w:lang w:val="en-US"/>
        </w:rPr>
        <w:t>0</w:t>
      </w:r>
      <w:r>
        <w:rPr>
          <w:rFonts w:hint="eastAsia" w:ascii="仿宋" w:hAnsi="仿宋" w:eastAsia="仿宋"/>
          <w:color w:val="000000"/>
          <w:sz w:val="32"/>
          <w:highlight w:val="white"/>
          <w:lang w:val="en-US"/>
        </w:rPr>
        <w:t>辆、离退休干部用车</w:t>
      </w:r>
      <w:r>
        <w:rPr>
          <w:rFonts w:hint="eastAsia" w:ascii="仿宋" w:hAnsi="仿宋" w:eastAsia="仿宋"/>
          <w:color w:val="auto"/>
          <w:kern w:val="0"/>
          <w:sz w:val="32"/>
          <w:highlight w:val="white"/>
          <w:lang w:val="en-US"/>
        </w:rPr>
        <w:t>0</w:t>
      </w:r>
      <w:r>
        <w:rPr>
          <w:rFonts w:hint="eastAsia" w:ascii="仿宋" w:hAnsi="仿宋" w:eastAsia="仿宋"/>
          <w:color w:val="000000"/>
          <w:sz w:val="32"/>
          <w:highlight w:val="white"/>
          <w:lang w:val="en-US"/>
        </w:rPr>
        <w:t>辆、其他用车</w:t>
      </w:r>
      <w:r>
        <w:rPr>
          <w:rFonts w:hint="eastAsia" w:ascii="仿宋" w:hAnsi="仿宋" w:eastAsia="仿宋"/>
          <w:color w:val="auto"/>
          <w:kern w:val="0"/>
          <w:sz w:val="32"/>
          <w:highlight w:val="white"/>
          <w:lang w:val="en-US"/>
        </w:rPr>
        <w:t>0</w:t>
      </w:r>
      <w:r>
        <w:rPr>
          <w:rFonts w:hint="eastAsia" w:ascii="仿宋" w:hAnsi="仿宋" w:eastAsia="仿宋"/>
          <w:color w:val="000000"/>
          <w:sz w:val="32"/>
          <w:highlight w:val="white"/>
          <w:lang w:val="en-US"/>
        </w:rPr>
        <w:t>辆；单价50万元以上通用设备</w:t>
      </w:r>
      <w:r>
        <w:rPr>
          <w:rFonts w:hint="eastAsia" w:ascii="仿宋" w:hAnsi="仿宋" w:eastAsia="仿宋"/>
          <w:color w:val="auto"/>
          <w:kern w:val="0"/>
          <w:sz w:val="32"/>
          <w:highlight w:val="white"/>
          <w:lang w:val="en-US"/>
        </w:rPr>
        <w:t>0</w:t>
      </w:r>
      <w:r>
        <w:rPr>
          <w:rFonts w:hint="eastAsia" w:ascii="仿宋" w:hAnsi="仿宋" w:eastAsia="仿宋"/>
          <w:color w:val="000000"/>
          <w:sz w:val="32"/>
          <w:highlight w:val="white"/>
          <w:lang w:val="en-US"/>
        </w:rPr>
        <w:t>台（套），单价100万元以上专用设备</w:t>
      </w:r>
      <w:r>
        <w:rPr>
          <w:rFonts w:hint="eastAsia" w:ascii="仿宋" w:hAnsi="仿宋" w:eastAsia="仿宋"/>
          <w:color w:val="auto"/>
          <w:kern w:val="0"/>
          <w:sz w:val="32"/>
          <w:highlight w:val="white"/>
          <w:lang w:val="en-US"/>
        </w:rPr>
        <w:t>0</w:t>
      </w:r>
      <w:r>
        <w:rPr>
          <w:rFonts w:hint="eastAsia" w:ascii="仿宋" w:hAnsi="仿宋" w:eastAsia="仿宋"/>
          <w:color w:val="000000"/>
          <w:sz w:val="32"/>
          <w:highlight w:val="white"/>
          <w:lang w:val="en-US"/>
        </w:rPr>
        <w:t>台（套）。</w:t>
      </w:r>
      <w:r>
        <w:rPr>
          <w:rFonts w:hint="eastAsia" w:ascii="仿宋_GB2312" w:hAnsi="仿宋_GB2312" w:eastAsia="仿宋_GB2312"/>
          <w:color w:val="000000"/>
          <w:sz w:val="32"/>
          <w:highlight w:val="white"/>
          <w:lang w:val="en-US"/>
        </w:rPr>
        <w:t xml:space="preserve"> </w:t>
      </w:r>
    </w:p>
    <w:p>
      <w:pPr>
        <w:spacing w:beforeLines="0" w:afterLines="0" w:line="324" w:lineRule="auto"/>
        <w:ind w:firstLine="594"/>
        <w:rPr>
          <w:rFonts w:hint="eastAsia" w:ascii="仿宋" w:hAnsi="仿宋" w:eastAsia="仿宋"/>
          <w:color w:val="000000"/>
          <w:sz w:val="32"/>
          <w:highlight w:val="white"/>
          <w:lang w:val="en-US"/>
        </w:rPr>
      </w:pPr>
      <w:r>
        <w:rPr>
          <w:rFonts w:hint="eastAsia" w:ascii="楷体" w:hAnsi="楷体" w:eastAsia="楷体"/>
          <w:b/>
          <w:color w:val="000000"/>
          <w:sz w:val="32"/>
          <w:highlight w:val="white"/>
          <w:lang w:val="en-US"/>
        </w:rPr>
        <w:t>（十三）预算绩效情况说明</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1.预算绩效管理工作开展情况。</w:t>
      </w:r>
    </w:p>
    <w:p>
      <w:pPr>
        <w:spacing w:beforeLines="0" w:afterLines="0" w:line="324" w:lineRule="auto"/>
        <w:ind w:firstLine="594"/>
        <w:rPr>
          <w:rFonts w:hint="eastAsia" w:ascii="仿宋" w:hAnsi="仿宋" w:eastAsia="仿宋"/>
          <w:b w:val="0"/>
          <w:bCs/>
          <w:color w:val="000000"/>
          <w:sz w:val="32"/>
          <w:highlight w:val="white"/>
          <w:lang w:val="en-US"/>
        </w:rPr>
      </w:pPr>
      <w:r>
        <w:rPr>
          <w:rFonts w:hint="eastAsia" w:ascii="仿宋" w:hAnsi="仿宋" w:eastAsia="仿宋"/>
          <w:color w:val="000000"/>
          <w:sz w:val="32"/>
          <w:highlight w:val="white"/>
          <w:lang w:val="en-US"/>
        </w:rPr>
        <w:t>根据预算绩效管理要求，</w:t>
      </w:r>
      <w:r>
        <w:rPr>
          <w:rFonts w:ascii="Times New Roman" w:hAnsi="Times New Roman" w:eastAsia="仿宋_GB2312" w:cs="Times New Roman"/>
          <w:bCs/>
          <w:color w:val="000000"/>
          <w:sz w:val="32"/>
          <w:szCs w:val="32"/>
        </w:rPr>
        <w:t>金华市林业有害生物</w:t>
      </w:r>
      <w:r>
        <w:rPr>
          <w:rFonts w:hint="eastAsia" w:ascii="Times New Roman" w:hAnsi="Times New Roman" w:eastAsia="仿宋_GB2312" w:cs="Times New Roman"/>
          <w:bCs/>
          <w:color w:val="000000"/>
          <w:sz w:val="32"/>
          <w:szCs w:val="32"/>
        </w:rPr>
        <w:t>防治检疫站</w:t>
      </w:r>
      <w:r>
        <w:rPr>
          <w:rFonts w:hint="eastAsia" w:ascii="仿宋" w:hAnsi="仿宋" w:eastAsia="仿宋"/>
          <w:color w:val="000000"/>
          <w:sz w:val="32"/>
          <w:highlight w:val="white"/>
          <w:lang w:val="en-US"/>
        </w:rPr>
        <w:t>对2020年度一般公共预算项目支出全面开展绩效自评，其中，一级项目</w:t>
      </w:r>
      <w:r>
        <w:rPr>
          <w:rFonts w:hint="eastAsia" w:ascii="仿宋" w:hAnsi="仿宋" w:eastAsia="仿宋"/>
          <w:color w:val="000000"/>
          <w:sz w:val="32"/>
          <w:highlight w:val="white"/>
          <w:lang w:val="en-US" w:eastAsia="zh-CN"/>
        </w:rPr>
        <w:t>1</w:t>
      </w:r>
      <w:r>
        <w:rPr>
          <w:rFonts w:hint="eastAsia" w:ascii="仿宋" w:hAnsi="仿宋" w:eastAsia="仿宋"/>
          <w:color w:val="000000"/>
          <w:sz w:val="32"/>
          <w:highlight w:val="white"/>
          <w:lang w:val="en-US"/>
        </w:rPr>
        <w:t>个，二级项目</w:t>
      </w:r>
      <w:r>
        <w:rPr>
          <w:rFonts w:hint="eastAsia" w:ascii="仿宋" w:hAnsi="仿宋" w:eastAsia="仿宋"/>
          <w:color w:val="000000"/>
          <w:sz w:val="32"/>
          <w:highlight w:val="white"/>
          <w:lang w:val="en-US" w:eastAsia="zh-CN"/>
        </w:rPr>
        <w:t>1</w:t>
      </w:r>
      <w:r>
        <w:rPr>
          <w:rFonts w:hint="eastAsia" w:ascii="仿宋" w:hAnsi="仿宋" w:eastAsia="仿宋"/>
          <w:color w:val="000000"/>
          <w:sz w:val="32"/>
          <w:highlight w:val="white"/>
          <w:lang w:val="en-US"/>
        </w:rPr>
        <w:t>个，共涉及资金</w:t>
      </w:r>
      <w:r>
        <w:rPr>
          <w:rFonts w:hint="eastAsia" w:ascii="仿宋" w:hAnsi="仿宋" w:eastAsia="仿宋"/>
          <w:color w:val="000000"/>
          <w:sz w:val="32"/>
          <w:highlight w:val="white"/>
          <w:lang w:val="en-US" w:eastAsia="zh-CN"/>
        </w:rPr>
        <w:t>17.75</w:t>
      </w:r>
      <w:r>
        <w:rPr>
          <w:rFonts w:hint="eastAsia" w:ascii="仿宋" w:hAnsi="仿宋" w:eastAsia="仿宋"/>
          <w:color w:val="000000"/>
          <w:sz w:val="32"/>
          <w:highlight w:val="white"/>
          <w:lang w:val="en-US"/>
        </w:rPr>
        <w:t>万元，占一般公共预算项目支出总额的</w:t>
      </w:r>
      <w:r>
        <w:rPr>
          <w:rFonts w:hint="eastAsia" w:ascii="仿宋" w:hAnsi="仿宋" w:eastAsia="仿宋"/>
          <w:color w:val="000000"/>
          <w:sz w:val="32"/>
          <w:highlight w:val="white"/>
          <w:lang w:val="en-US" w:eastAsia="zh-CN"/>
        </w:rPr>
        <w:t>100</w:t>
      </w:r>
      <w:r>
        <w:rPr>
          <w:rFonts w:hint="eastAsia" w:ascii="仿宋" w:hAnsi="仿宋" w:eastAsia="仿宋"/>
          <w:color w:val="000000"/>
          <w:sz w:val="32"/>
          <w:highlight w:val="white"/>
          <w:lang w:val="en-US"/>
        </w:rPr>
        <w:t>%。本年无政府性基金预算项目。</w:t>
      </w:r>
      <w:r>
        <w:rPr>
          <w:rFonts w:hint="eastAsia" w:ascii="仿宋" w:hAnsi="仿宋" w:eastAsia="仿宋"/>
          <w:b w:val="0"/>
          <w:bCs/>
          <w:color w:val="000000"/>
          <w:sz w:val="32"/>
          <w:highlight w:val="white"/>
          <w:lang w:val="en-US"/>
        </w:rPr>
        <w:t>本年无部门评价。</w:t>
      </w:r>
      <w:r>
        <w:rPr>
          <w:rFonts w:hint="eastAsia" w:ascii="仿宋" w:hAnsi="仿宋" w:eastAsia="仿宋"/>
          <w:b w:val="0"/>
          <w:bCs/>
          <w:color w:val="000000"/>
          <w:sz w:val="32"/>
          <w:highlight w:val="white"/>
          <w:lang w:val="en-US" w:eastAsia="zh-CN"/>
        </w:rPr>
        <w:t>本年无部门整体支出绩效评价</w:t>
      </w:r>
      <w:r>
        <w:rPr>
          <w:rFonts w:hint="eastAsia" w:ascii="仿宋" w:hAnsi="仿宋" w:eastAsia="仿宋"/>
          <w:b w:val="0"/>
          <w:bCs/>
          <w:color w:val="000000"/>
          <w:sz w:val="32"/>
          <w:highlight w:val="white"/>
          <w:lang w:val="en-US"/>
        </w:rPr>
        <w:t>。</w:t>
      </w:r>
    </w:p>
    <w:p>
      <w:pPr>
        <w:spacing w:beforeLines="0" w:afterLines="0" w:line="324" w:lineRule="auto"/>
        <w:ind w:firstLine="642" w:firstLineChars="200"/>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2.单位决算中项目绩效自评结果（本单位2020年度只有一个预算项目）。</w:t>
      </w:r>
    </w:p>
    <w:p>
      <w:pPr>
        <w:keepNext w:val="0"/>
        <w:keepLines w:val="0"/>
        <w:widowControl/>
        <w:suppressLineNumbers w:val="0"/>
        <w:ind w:firstLine="640" w:firstLineChars="200"/>
        <w:jc w:val="left"/>
        <w:rPr>
          <w:rFonts w:hint="eastAsia" w:ascii="仿宋" w:hAnsi="仿宋" w:eastAsia="仿宋"/>
          <w:color w:val="000000"/>
          <w:sz w:val="32"/>
          <w:highlight w:val="white"/>
          <w:lang w:val="en-US"/>
        </w:rPr>
      </w:pPr>
      <w:r>
        <w:rPr>
          <w:rFonts w:ascii="Times New Roman" w:hAnsi="Times New Roman" w:eastAsia="仿宋_GB2312" w:cs="Times New Roman"/>
          <w:bCs/>
          <w:color w:val="000000"/>
          <w:sz w:val="32"/>
          <w:szCs w:val="32"/>
        </w:rPr>
        <w:t>金华市林业有害生物</w:t>
      </w:r>
      <w:r>
        <w:rPr>
          <w:rFonts w:hint="eastAsia" w:ascii="Times New Roman" w:hAnsi="Times New Roman" w:eastAsia="仿宋_GB2312" w:cs="Times New Roman"/>
          <w:bCs/>
          <w:color w:val="000000"/>
          <w:sz w:val="32"/>
          <w:szCs w:val="32"/>
        </w:rPr>
        <w:t>防治检疫站</w:t>
      </w:r>
      <w:r>
        <w:rPr>
          <w:rFonts w:hint="eastAsia" w:ascii="仿宋" w:hAnsi="仿宋" w:eastAsia="仿宋"/>
          <w:color w:val="000000"/>
          <w:sz w:val="32"/>
          <w:highlight w:val="white"/>
          <w:lang w:val="en-US"/>
        </w:rPr>
        <w:t>在2020年度单位决算中反映</w:t>
      </w:r>
      <w:r>
        <w:rPr>
          <w:rFonts w:hint="eastAsia" w:ascii="仿宋" w:hAnsi="仿宋" w:eastAsia="仿宋"/>
          <w:color w:val="000000"/>
          <w:sz w:val="32"/>
          <w:highlight w:val="white"/>
          <w:lang w:val="en-US" w:eastAsia="zh-CN"/>
        </w:rPr>
        <w:t>林业有害生物防控及古树名木保护</w:t>
      </w:r>
      <w:r>
        <w:rPr>
          <w:rFonts w:hint="eastAsia" w:ascii="仿宋" w:hAnsi="仿宋" w:eastAsia="仿宋"/>
          <w:color w:val="000000"/>
          <w:sz w:val="32"/>
          <w:highlight w:val="white"/>
          <w:lang w:val="en-US"/>
        </w:rPr>
        <w:t>项目绩效自评结果。</w:t>
      </w:r>
    </w:p>
    <w:p>
      <w:pPr>
        <w:spacing w:beforeLines="0" w:afterLines="0" w:line="324" w:lineRule="auto"/>
        <w:ind w:firstLine="640" w:firstLineChars="200"/>
        <w:rPr>
          <w:rFonts w:hint="eastAsia" w:ascii="仿宋" w:hAnsi="仿宋" w:eastAsia="仿宋"/>
          <w:color w:val="000000"/>
          <w:sz w:val="32"/>
          <w:highlight w:val="white"/>
          <w:lang w:val="en-US" w:eastAsia="zh-CN"/>
        </w:rPr>
      </w:pPr>
      <w:r>
        <w:rPr>
          <w:rFonts w:hint="eastAsia" w:ascii="仿宋" w:hAnsi="仿宋" w:eastAsia="仿宋"/>
          <w:color w:val="000000"/>
          <w:sz w:val="32"/>
          <w:highlight w:val="white"/>
          <w:lang w:val="en-US" w:eastAsia="zh-CN"/>
        </w:rPr>
        <w:t>林业有害生物防控及古树名木保护项目绩效自评综述：根据年初设定的绩效目标，项目自评得分97.75分，自评结论为“优”。项目全年预算数为17.75万元，执行数为13.76万元，完成预算的77.5%。项目绩效目标完成情况：一是通过开展无人机监测松材线虫病发生情况及除治情况共调查10万亩，有效开展松材线虫病除治质量检查；二是培训全市工作人员75人；三是完成检疫执法、产地检疫等工作。发现的问题及原因：一是执行率不高，原因是疫情影响，对县（市、区）业务指导、检查较少。下一步改进措施：一是加强对县（市、区）业务指导、检查。</w:t>
      </w:r>
    </w:p>
    <w:p>
      <w:pPr>
        <w:snapToGrid w:val="0"/>
        <w:spacing w:line="500" w:lineRule="exact"/>
        <w:rPr>
          <w:rFonts w:hint="eastAsia" w:ascii="黑体" w:hAnsi="黑体" w:eastAsia="黑体" w:cs="黑体"/>
          <w:sz w:val="32"/>
          <w:szCs w:val="32"/>
        </w:rPr>
      </w:pPr>
    </w:p>
    <w:p>
      <w:pPr>
        <w:widowControl/>
        <w:spacing w:line="560" w:lineRule="exact"/>
        <w:jc w:val="center"/>
        <w:rPr>
          <w:rFonts w:ascii="Times New Roman" w:hAnsi="Times New Roman" w:eastAsia="方正小标宋简体"/>
          <w:bCs/>
          <w:kern w:val="0"/>
          <w:sz w:val="44"/>
          <w:szCs w:val="44"/>
        </w:rPr>
      </w:pPr>
      <w:r>
        <w:rPr>
          <w:rFonts w:ascii="Times New Roman" w:hAnsi="Times New Roman" w:eastAsia="方正小标宋简体"/>
          <w:bCs/>
          <w:kern w:val="0"/>
          <w:sz w:val="44"/>
          <w:szCs w:val="44"/>
        </w:rPr>
        <w:t>金华市本级项目支出绩效自评表</w:t>
      </w:r>
    </w:p>
    <w:p>
      <w:pPr>
        <w:widowControl/>
        <w:spacing w:line="560" w:lineRule="exact"/>
        <w:jc w:val="center"/>
        <w:rPr>
          <w:rFonts w:hint="eastAsia" w:ascii="方正小标宋简体" w:hAnsi="方正小标宋简体" w:eastAsia="方正小标宋简体" w:cs="方正小标宋简体"/>
          <w:bCs/>
          <w:kern w:val="0"/>
          <w:sz w:val="40"/>
          <w:szCs w:val="40"/>
        </w:rPr>
      </w:pPr>
      <w:r>
        <w:rPr>
          <w:rFonts w:hint="eastAsia" w:ascii="方正小标宋简体" w:hAnsi="方正小标宋简体" w:eastAsia="方正小标宋简体" w:cs="方正小标宋简体"/>
          <w:bCs/>
          <w:kern w:val="0"/>
          <w:sz w:val="40"/>
          <w:szCs w:val="40"/>
        </w:rPr>
        <w:t>（2020年度）</w:t>
      </w:r>
    </w:p>
    <w:p>
      <w:pPr>
        <w:widowControl/>
        <w:spacing w:line="560" w:lineRule="exact"/>
        <w:rPr>
          <w:rFonts w:ascii="Times New Roman" w:hAnsi="Times New Roman" w:eastAsia="仿宋_GB2312"/>
          <w:kern w:val="0"/>
          <w:sz w:val="24"/>
        </w:rPr>
      </w:pPr>
      <w:r>
        <w:rPr>
          <w:rFonts w:ascii="Times New Roman" w:hAnsi="Times New Roman" w:eastAsia="仿宋_GB2312"/>
          <w:kern w:val="0"/>
          <w:sz w:val="24"/>
        </w:rPr>
        <w:t>实施单位（盖章）：</w:t>
      </w:r>
    </w:p>
    <w:tbl>
      <w:tblPr>
        <w:tblStyle w:val="4"/>
        <w:tblW w:w="9580" w:type="dxa"/>
        <w:jc w:val="center"/>
        <w:tblLayout w:type="fixed"/>
        <w:tblCellMar>
          <w:top w:w="0" w:type="dxa"/>
          <w:left w:w="108" w:type="dxa"/>
          <w:bottom w:w="0" w:type="dxa"/>
          <w:right w:w="108" w:type="dxa"/>
        </w:tblCellMar>
      </w:tblPr>
      <w:tblGrid>
        <w:gridCol w:w="648"/>
        <w:gridCol w:w="972"/>
        <w:gridCol w:w="147"/>
        <w:gridCol w:w="101"/>
        <w:gridCol w:w="1116"/>
        <w:gridCol w:w="376"/>
        <w:gridCol w:w="797"/>
        <w:gridCol w:w="1013"/>
        <w:gridCol w:w="288"/>
        <w:gridCol w:w="1290"/>
        <w:gridCol w:w="539"/>
        <w:gridCol w:w="485"/>
        <w:gridCol w:w="1808"/>
      </w:tblGrid>
      <w:tr>
        <w:tblPrEx>
          <w:tblCellMar>
            <w:top w:w="0" w:type="dxa"/>
            <w:left w:w="108" w:type="dxa"/>
            <w:bottom w:w="0" w:type="dxa"/>
            <w:right w:w="108" w:type="dxa"/>
          </w:tblCellMar>
        </w:tblPrEx>
        <w:trPr>
          <w:trHeight w:val="311" w:hRule="atLeast"/>
          <w:jc w:val="center"/>
        </w:trPr>
        <w:tc>
          <w:tcPr>
            <w:tcW w:w="162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r>
              <w:rPr>
                <w:rFonts w:ascii="Times New Roman" w:hAnsi="Times New Roman" w:eastAsia="仿宋_GB2312"/>
                <w:kern w:val="0"/>
                <w:sz w:val="24"/>
              </w:rPr>
              <w:t>项目名称</w:t>
            </w:r>
          </w:p>
        </w:tc>
        <w:tc>
          <w:tcPr>
            <w:tcW w:w="7960" w:type="dxa"/>
            <w:gridSpan w:val="11"/>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r>
              <w:rPr>
                <w:rFonts w:hint="eastAsia" w:ascii="Times New Roman" w:hAnsi="Times New Roman" w:eastAsia="仿宋_GB2312"/>
                <w:kern w:val="0"/>
                <w:sz w:val="24"/>
              </w:rPr>
              <w:t>林业有害生物防控及古树名木保护专项</w:t>
            </w:r>
          </w:p>
        </w:tc>
      </w:tr>
      <w:tr>
        <w:tblPrEx>
          <w:tblCellMar>
            <w:top w:w="0" w:type="dxa"/>
            <w:left w:w="108" w:type="dxa"/>
            <w:bottom w:w="0" w:type="dxa"/>
            <w:right w:w="108" w:type="dxa"/>
          </w:tblCellMar>
        </w:tblPrEx>
        <w:trPr>
          <w:trHeight w:val="311" w:hRule="atLeast"/>
          <w:jc w:val="center"/>
        </w:trPr>
        <w:tc>
          <w:tcPr>
            <w:tcW w:w="162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r>
              <w:rPr>
                <w:rFonts w:ascii="Times New Roman" w:hAnsi="Times New Roman" w:eastAsia="仿宋_GB2312"/>
                <w:kern w:val="0"/>
                <w:sz w:val="24"/>
              </w:rPr>
              <w:t>主管部门</w:t>
            </w:r>
          </w:p>
        </w:tc>
        <w:tc>
          <w:tcPr>
            <w:tcW w:w="3550" w:type="dxa"/>
            <w:gridSpan w:val="6"/>
            <w:tcBorders>
              <w:top w:val="single" w:color="000000" w:sz="4" w:space="0"/>
              <w:left w:val="nil"/>
              <w:bottom w:val="single" w:color="000000" w:sz="4" w:space="0"/>
              <w:right w:val="single" w:color="000000" w:sz="4" w:space="0"/>
            </w:tcBorders>
            <w:vAlign w:val="center"/>
          </w:tcPr>
          <w:p>
            <w:pPr>
              <w:widowControl/>
              <w:spacing w:line="240" w:lineRule="exact"/>
              <w:jc w:val="center"/>
              <w:rPr>
                <w:rFonts w:hint="eastAsia" w:ascii="Times New Roman" w:hAnsi="Times New Roman" w:eastAsia="仿宋_GB2312"/>
                <w:kern w:val="0"/>
                <w:sz w:val="24"/>
                <w:lang w:eastAsia="zh-CN"/>
              </w:rPr>
            </w:pPr>
            <w:r>
              <w:rPr>
                <w:rFonts w:hint="eastAsia" w:ascii="Times New Roman" w:hAnsi="Times New Roman" w:eastAsia="仿宋_GB2312"/>
                <w:kern w:val="0"/>
                <w:sz w:val="24"/>
                <w:lang w:eastAsia="zh-CN"/>
              </w:rPr>
              <w:t>金华市自然资源和规划局</w:t>
            </w:r>
          </w:p>
        </w:tc>
        <w:tc>
          <w:tcPr>
            <w:tcW w:w="2117" w:type="dxa"/>
            <w:gridSpan w:val="3"/>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r>
              <w:rPr>
                <w:rFonts w:ascii="Times New Roman" w:hAnsi="Times New Roman" w:eastAsia="仿宋_GB2312"/>
                <w:kern w:val="0"/>
                <w:sz w:val="24"/>
              </w:rPr>
              <w:t>实施单位</w:t>
            </w:r>
          </w:p>
        </w:tc>
        <w:tc>
          <w:tcPr>
            <w:tcW w:w="2293" w:type="dxa"/>
            <w:gridSpan w:val="2"/>
            <w:tcBorders>
              <w:top w:val="single" w:color="000000" w:sz="4" w:space="0"/>
              <w:left w:val="nil"/>
              <w:bottom w:val="single" w:color="000000" w:sz="4" w:space="0"/>
              <w:right w:val="single" w:color="000000" w:sz="4" w:space="0"/>
            </w:tcBorders>
            <w:vAlign w:val="center"/>
          </w:tcPr>
          <w:p>
            <w:pPr>
              <w:widowControl/>
              <w:spacing w:line="240" w:lineRule="exact"/>
              <w:jc w:val="center"/>
              <w:rPr>
                <w:rFonts w:hint="eastAsia" w:ascii="Times New Roman" w:hAnsi="Times New Roman" w:eastAsia="仿宋_GB2312"/>
                <w:kern w:val="0"/>
                <w:sz w:val="24"/>
                <w:lang w:eastAsia="zh-CN"/>
              </w:rPr>
            </w:pPr>
            <w:r>
              <w:rPr>
                <w:rFonts w:hint="eastAsia" w:ascii="Times New Roman" w:hAnsi="Times New Roman" w:eastAsia="仿宋_GB2312"/>
                <w:kern w:val="0"/>
                <w:sz w:val="24"/>
                <w:lang w:eastAsia="zh-CN"/>
              </w:rPr>
              <w:t>金华市林业有害生物防治检疫站</w:t>
            </w:r>
          </w:p>
        </w:tc>
      </w:tr>
      <w:tr>
        <w:tblPrEx>
          <w:tblCellMar>
            <w:top w:w="0" w:type="dxa"/>
            <w:left w:w="108" w:type="dxa"/>
            <w:bottom w:w="0" w:type="dxa"/>
            <w:right w:w="108" w:type="dxa"/>
          </w:tblCellMar>
        </w:tblPrEx>
        <w:trPr>
          <w:trHeight w:val="311" w:hRule="atLeast"/>
          <w:jc w:val="center"/>
        </w:trPr>
        <w:tc>
          <w:tcPr>
            <w:tcW w:w="162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r>
              <w:rPr>
                <w:rFonts w:ascii="Times New Roman" w:hAnsi="Times New Roman" w:eastAsia="仿宋_GB2312"/>
                <w:kern w:val="0"/>
                <w:sz w:val="24"/>
              </w:rPr>
              <w:t>起止时间</w:t>
            </w:r>
          </w:p>
        </w:tc>
        <w:tc>
          <w:tcPr>
            <w:tcW w:w="7960" w:type="dxa"/>
            <w:gridSpan w:val="11"/>
            <w:tcBorders>
              <w:top w:val="single" w:color="000000" w:sz="4" w:space="0"/>
              <w:left w:val="nil"/>
              <w:bottom w:val="single" w:color="000000" w:sz="4" w:space="0"/>
              <w:right w:val="single" w:color="000000" w:sz="4" w:space="0"/>
            </w:tcBorders>
            <w:vAlign w:val="center"/>
          </w:tcPr>
          <w:p>
            <w:pPr>
              <w:widowControl/>
              <w:spacing w:line="240" w:lineRule="exact"/>
              <w:jc w:val="center"/>
              <w:rPr>
                <w:rFonts w:hint="default" w:ascii="Times New Roman" w:hAnsi="Times New Roman" w:eastAsia="仿宋_GB2312"/>
                <w:kern w:val="0"/>
                <w:sz w:val="24"/>
                <w:lang w:val="en-US" w:eastAsia="zh-CN"/>
              </w:rPr>
            </w:pPr>
            <w:r>
              <w:rPr>
                <w:rFonts w:hint="eastAsia" w:ascii="Times New Roman" w:hAnsi="Times New Roman" w:eastAsia="仿宋_GB2312"/>
                <w:kern w:val="0"/>
                <w:sz w:val="24"/>
                <w:lang w:val="en-US" w:eastAsia="zh-CN"/>
              </w:rPr>
              <w:t>2020.1.1-2020.12.31</w:t>
            </w:r>
          </w:p>
        </w:tc>
      </w:tr>
      <w:tr>
        <w:tblPrEx>
          <w:tblCellMar>
            <w:top w:w="0" w:type="dxa"/>
            <w:left w:w="108" w:type="dxa"/>
            <w:bottom w:w="0" w:type="dxa"/>
            <w:right w:w="108" w:type="dxa"/>
          </w:tblCellMar>
        </w:tblPrEx>
        <w:trPr>
          <w:trHeight w:val="311" w:hRule="atLeast"/>
          <w:jc w:val="center"/>
        </w:trPr>
        <w:tc>
          <w:tcPr>
            <w:tcW w:w="1620" w:type="dxa"/>
            <w:gridSpan w:val="2"/>
            <w:vMerge w:val="restart"/>
            <w:tcBorders>
              <w:top w:val="single" w:color="000000" w:sz="4" w:space="0"/>
              <w:left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r>
              <w:rPr>
                <w:rFonts w:ascii="Times New Roman" w:hAnsi="Times New Roman" w:eastAsia="仿宋_GB2312"/>
                <w:kern w:val="0"/>
                <w:sz w:val="24"/>
              </w:rPr>
              <w:t>项目资金（万元）</w:t>
            </w:r>
          </w:p>
        </w:tc>
        <w:tc>
          <w:tcPr>
            <w:tcW w:w="1740" w:type="dxa"/>
            <w:gridSpan w:val="4"/>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p>
        </w:tc>
        <w:tc>
          <w:tcPr>
            <w:tcW w:w="2098" w:type="dxa"/>
            <w:gridSpan w:val="3"/>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r>
              <w:rPr>
                <w:rFonts w:ascii="Times New Roman" w:hAnsi="Times New Roman" w:eastAsia="仿宋_GB2312"/>
                <w:kern w:val="0"/>
                <w:sz w:val="24"/>
              </w:rPr>
              <w:t>年初预算数</w:t>
            </w:r>
          </w:p>
        </w:tc>
        <w:tc>
          <w:tcPr>
            <w:tcW w:w="1829" w:type="dxa"/>
            <w:gridSpan w:val="2"/>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r>
              <w:rPr>
                <w:rFonts w:ascii="Times New Roman" w:hAnsi="Times New Roman" w:eastAsia="仿宋_GB2312"/>
                <w:kern w:val="0"/>
                <w:sz w:val="24"/>
              </w:rPr>
              <w:t>全年预算数</w:t>
            </w:r>
          </w:p>
        </w:tc>
        <w:tc>
          <w:tcPr>
            <w:tcW w:w="2293" w:type="dxa"/>
            <w:gridSpan w:val="2"/>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r>
              <w:rPr>
                <w:rFonts w:ascii="Times New Roman" w:hAnsi="Times New Roman" w:eastAsia="仿宋_GB2312"/>
                <w:kern w:val="0"/>
                <w:sz w:val="24"/>
              </w:rPr>
              <w:t>全年执行数</w:t>
            </w:r>
          </w:p>
        </w:tc>
      </w:tr>
      <w:tr>
        <w:tblPrEx>
          <w:tblCellMar>
            <w:top w:w="0" w:type="dxa"/>
            <w:left w:w="108" w:type="dxa"/>
            <w:bottom w:w="0" w:type="dxa"/>
            <w:right w:w="108" w:type="dxa"/>
          </w:tblCellMar>
        </w:tblPrEx>
        <w:trPr>
          <w:trHeight w:val="311" w:hRule="atLeast"/>
          <w:jc w:val="center"/>
        </w:trPr>
        <w:tc>
          <w:tcPr>
            <w:tcW w:w="1620" w:type="dxa"/>
            <w:gridSpan w:val="2"/>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sz w:val="24"/>
              </w:rPr>
            </w:pPr>
          </w:p>
        </w:tc>
        <w:tc>
          <w:tcPr>
            <w:tcW w:w="1740" w:type="dxa"/>
            <w:gridSpan w:val="4"/>
            <w:tcBorders>
              <w:top w:val="single" w:color="000000" w:sz="4" w:space="0"/>
              <w:left w:val="nil"/>
              <w:bottom w:val="single" w:color="000000" w:sz="4" w:space="0"/>
              <w:right w:val="single" w:color="000000" w:sz="4" w:space="0"/>
            </w:tcBorders>
            <w:vAlign w:val="center"/>
          </w:tcPr>
          <w:p>
            <w:pPr>
              <w:widowControl/>
              <w:spacing w:line="240" w:lineRule="exact"/>
              <w:jc w:val="left"/>
              <w:rPr>
                <w:rFonts w:ascii="Times New Roman" w:hAnsi="Times New Roman" w:eastAsia="仿宋_GB2312"/>
                <w:sz w:val="24"/>
              </w:rPr>
            </w:pPr>
            <w:r>
              <w:rPr>
                <w:rFonts w:ascii="Times New Roman" w:hAnsi="Times New Roman" w:eastAsia="仿宋_GB2312"/>
                <w:sz w:val="24"/>
              </w:rPr>
              <w:t>年度资金总额</w:t>
            </w:r>
          </w:p>
        </w:tc>
        <w:tc>
          <w:tcPr>
            <w:tcW w:w="2098" w:type="dxa"/>
            <w:gridSpan w:val="3"/>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177,500.00</w:t>
            </w:r>
          </w:p>
        </w:tc>
        <w:tc>
          <w:tcPr>
            <w:tcW w:w="1829"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177,500.00</w:t>
            </w:r>
          </w:p>
        </w:tc>
        <w:tc>
          <w:tcPr>
            <w:tcW w:w="2293"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137,563.50</w:t>
            </w:r>
          </w:p>
        </w:tc>
      </w:tr>
      <w:tr>
        <w:tblPrEx>
          <w:tblCellMar>
            <w:top w:w="0" w:type="dxa"/>
            <w:left w:w="108" w:type="dxa"/>
            <w:bottom w:w="0" w:type="dxa"/>
            <w:right w:w="108" w:type="dxa"/>
          </w:tblCellMar>
        </w:tblPrEx>
        <w:trPr>
          <w:trHeight w:val="910" w:hRule="atLeast"/>
          <w:jc w:val="center"/>
        </w:trPr>
        <w:tc>
          <w:tcPr>
            <w:tcW w:w="1620" w:type="dxa"/>
            <w:gridSpan w:val="2"/>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p>
        </w:tc>
        <w:tc>
          <w:tcPr>
            <w:tcW w:w="1740" w:type="dxa"/>
            <w:gridSpan w:val="4"/>
            <w:tcBorders>
              <w:top w:val="single" w:color="000000" w:sz="4" w:space="0"/>
              <w:left w:val="nil"/>
              <w:bottom w:val="single" w:color="000000" w:sz="4" w:space="0"/>
              <w:right w:val="single" w:color="000000" w:sz="4" w:space="0"/>
            </w:tcBorders>
            <w:vAlign w:val="center"/>
          </w:tcPr>
          <w:p>
            <w:pPr>
              <w:widowControl/>
              <w:spacing w:line="240" w:lineRule="exact"/>
              <w:ind w:firstLine="240" w:firstLineChars="100"/>
              <w:rPr>
                <w:rFonts w:ascii="Times New Roman" w:hAnsi="Times New Roman" w:eastAsia="仿宋_GB2312"/>
                <w:kern w:val="0"/>
                <w:sz w:val="24"/>
              </w:rPr>
            </w:pPr>
            <w:r>
              <w:rPr>
                <w:rFonts w:ascii="Times New Roman" w:hAnsi="Times New Roman" w:eastAsia="仿宋_GB2312"/>
                <w:kern w:val="0"/>
                <w:sz w:val="24"/>
              </w:rPr>
              <w:t>其中：市本级</w:t>
            </w:r>
          </w:p>
          <w:p>
            <w:pPr>
              <w:widowControl/>
              <w:spacing w:line="240" w:lineRule="exact"/>
              <w:jc w:val="right"/>
              <w:rPr>
                <w:rFonts w:ascii="Times New Roman" w:hAnsi="Times New Roman" w:eastAsia="仿宋_GB2312"/>
                <w:kern w:val="0"/>
                <w:sz w:val="24"/>
              </w:rPr>
            </w:pPr>
            <w:r>
              <w:rPr>
                <w:rFonts w:ascii="Times New Roman" w:hAnsi="Times New Roman" w:eastAsia="仿宋_GB2312"/>
                <w:kern w:val="0"/>
                <w:sz w:val="24"/>
              </w:rPr>
              <w:t>安排资金</w:t>
            </w:r>
          </w:p>
        </w:tc>
        <w:tc>
          <w:tcPr>
            <w:tcW w:w="2098" w:type="dxa"/>
            <w:gridSpan w:val="3"/>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177,500.00</w:t>
            </w:r>
          </w:p>
        </w:tc>
        <w:tc>
          <w:tcPr>
            <w:tcW w:w="1829"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177,500.00</w:t>
            </w:r>
          </w:p>
        </w:tc>
        <w:tc>
          <w:tcPr>
            <w:tcW w:w="2293"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137,563.50</w:t>
            </w:r>
          </w:p>
        </w:tc>
      </w:tr>
      <w:tr>
        <w:tblPrEx>
          <w:tblCellMar>
            <w:top w:w="0" w:type="dxa"/>
            <w:left w:w="108" w:type="dxa"/>
            <w:bottom w:w="0" w:type="dxa"/>
            <w:right w:w="108" w:type="dxa"/>
          </w:tblCellMar>
        </w:tblPrEx>
        <w:trPr>
          <w:trHeight w:val="311" w:hRule="atLeast"/>
          <w:jc w:val="center"/>
        </w:trPr>
        <w:tc>
          <w:tcPr>
            <w:tcW w:w="648" w:type="dxa"/>
            <w:vMerge w:val="restart"/>
            <w:tcBorders>
              <w:top w:val="single" w:color="000000" w:sz="4" w:space="0"/>
              <w:left w:val="single" w:color="000000" w:sz="4" w:space="0"/>
              <w:right w:val="single" w:color="000000" w:sz="4" w:space="0"/>
            </w:tcBorders>
            <w:vAlign w:val="center"/>
          </w:tcPr>
          <w:p>
            <w:pPr>
              <w:widowControl/>
              <w:spacing w:line="240" w:lineRule="exact"/>
              <w:jc w:val="center"/>
              <w:rPr>
                <w:rFonts w:ascii="Times New Roman" w:hAnsi="Times New Roman" w:eastAsia="仿宋_GB2312"/>
                <w:bCs/>
                <w:kern w:val="0"/>
                <w:sz w:val="24"/>
              </w:rPr>
            </w:pPr>
            <w:r>
              <w:rPr>
                <w:rFonts w:ascii="Times New Roman" w:hAnsi="Times New Roman" w:eastAsia="仿宋_GB2312"/>
                <w:bCs/>
                <w:kern w:val="0"/>
                <w:sz w:val="24"/>
              </w:rPr>
              <w:t>年度总体目标</w:t>
            </w:r>
          </w:p>
        </w:tc>
        <w:tc>
          <w:tcPr>
            <w:tcW w:w="4810" w:type="dxa"/>
            <w:gridSpan w:val="8"/>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bCs/>
                <w:kern w:val="0"/>
                <w:sz w:val="24"/>
              </w:rPr>
            </w:pPr>
            <w:r>
              <w:rPr>
                <w:rFonts w:ascii="Times New Roman" w:hAnsi="Times New Roman" w:eastAsia="仿宋_GB2312"/>
                <w:bCs/>
                <w:kern w:val="0"/>
                <w:sz w:val="24"/>
              </w:rPr>
              <w:t>预期目标</w:t>
            </w:r>
          </w:p>
        </w:tc>
        <w:tc>
          <w:tcPr>
            <w:tcW w:w="4122"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bCs/>
                <w:kern w:val="0"/>
                <w:sz w:val="24"/>
              </w:rPr>
            </w:pPr>
            <w:r>
              <w:rPr>
                <w:rFonts w:ascii="Times New Roman" w:hAnsi="Times New Roman" w:eastAsia="仿宋_GB2312"/>
                <w:bCs/>
                <w:kern w:val="0"/>
                <w:sz w:val="24"/>
              </w:rPr>
              <w:t>实际完成情况</w:t>
            </w:r>
          </w:p>
        </w:tc>
      </w:tr>
      <w:tr>
        <w:tblPrEx>
          <w:tblCellMar>
            <w:top w:w="0" w:type="dxa"/>
            <w:left w:w="108" w:type="dxa"/>
            <w:bottom w:w="0" w:type="dxa"/>
            <w:right w:w="108" w:type="dxa"/>
          </w:tblCellMar>
        </w:tblPrEx>
        <w:trPr>
          <w:trHeight w:val="1497" w:hRule="atLeast"/>
          <w:jc w:val="center"/>
        </w:trPr>
        <w:tc>
          <w:tcPr>
            <w:tcW w:w="648" w:type="dxa"/>
            <w:vMerge w:val="continue"/>
            <w:tcBorders>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bCs/>
                <w:kern w:val="0"/>
                <w:sz w:val="24"/>
              </w:rPr>
            </w:pPr>
          </w:p>
        </w:tc>
        <w:tc>
          <w:tcPr>
            <w:tcW w:w="4810" w:type="dxa"/>
            <w:gridSpan w:val="8"/>
            <w:tcBorders>
              <w:top w:val="single" w:color="000000" w:sz="4" w:space="0"/>
              <w:left w:val="single" w:color="000000" w:sz="4" w:space="0"/>
              <w:bottom w:val="single" w:color="000000" w:sz="4" w:space="0"/>
              <w:right w:val="single" w:color="000000" w:sz="4" w:space="0"/>
            </w:tcBorders>
            <w:vAlign w:val="center"/>
          </w:tcPr>
          <w:p>
            <w:pPr>
              <w:widowControl/>
              <w:numPr>
                <w:ilvl w:val="0"/>
                <w:numId w:val="3"/>
              </w:numPr>
              <w:spacing w:line="240" w:lineRule="exact"/>
              <w:ind w:left="360" w:leftChars="0" w:hanging="360" w:firstLineChars="0"/>
              <w:jc w:val="left"/>
              <w:rPr>
                <w:rFonts w:ascii="宋体" w:hAnsi="宋体" w:eastAsia="宋体" w:cs="Arial"/>
                <w:kern w:val="0"/>
                <w:sz w:val="20"/>
                <w:szCs w:val="20"/>
              </w:rPr>
            </w:pPr>
            <w:r>
              <w:rPr>
                <w:rFonts w:hint="eastAsia" w:ascii="宋体" w:hAnsi="宋体" w:cs="宋体"/>
                <w:kern w:val="0"/>
                <w:sz w:val="20"/>
                <w:szCs w:val="20"/>
              </w:rPr>
              <w:t>通过</w:t>
            </w:r>
            <w:r>
              <w:rPr>
                <w:rFonts w:hint="eastAsia" w:ascii="宋体" w:hAnsi="宋体" w:cs="宋体"/>
                <w:kern w:val="0"/>
                <w:sz w:val="20"/>
                <w:szCs w:val="20"/>
                <w:lang w:eastAsia="zh-CN"/>
              </w:rPr>
              <w:t>开展无人机监测</w:t>
            </w:r>
            <w:r>
              <w:rPr>
                <w:rFonts w:hint="eastAsia" w:ascii="宋体" w:hAnsi="宋体" w:cs="宋体"/>
                <w:kern w:val="0"/>
                <w:sz w:val="20"/>
                <w:szCs w:val="20"/>
              </w:rPr>
              <w:t>，有效</w:t>
            </w:r>
            <w:r>
              <w:rPr>
                <w:rFonts w:hint="eastAsia" w:ascii="宋体" w:hAnsi="宋体" w:cs="宋体"/>
                <w:kern w:val="0"/>
                <w:sz w:val="20"/>
                <w:szCs w:val="20"/>
                <w:lang w:eastAsia="zh-CN"/>
              </w:rPr>
              <w:t>开展松材线虫病除治质量检查</w:t>
            </w:r>
          </w:p>
          <w:p>
            <w:pPr>
              <w:widowControl/>
              <w:spacing w:line="240" w:lineRule="exact"/>
              <w:jc w:val="center"/>
              <w:rPr>
                <w:rFonts w:ascii="Times New Roman" w:hAnsi="Times New Roman" w:eastAsia="仿宋_GB2312"/>
                <w:bCs/>
                <w:kern w:val="0"/>
                <w:sz w:val="24"/>
              </w:rPr>
            </w:pPr>
            <w:r>
              <w:rPr>
                <w:rFonts w:hint="eastAsia" w:ascii="宋体" w:hAnsi="宋体" w:cs="宋体"/>
                <w:kern w:val="0"/>
                <w:sz w:val="20"/>
                <w:szCs w:val="20"/>
                <w:lang w:val="en-US" w:eastAsia="zh-CN"/>
              </w:rPr>
              <w:t>2、加强检疫、古树名木保护宣传，提高检疫、保护古树名木意识</w:t>
            </w:r>
          </w:p>
        </w:tc>
        <w:tc>
          <w:tcPr>
            <w:tcW w:w="4122" w:type="dxa"/>
            <w:gridSpan w:val="4"/>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240" w:lineRule="exact"/>
              <w:ind w:leftChars="0"/>
              <w:jc w:val="left"/>
              <w:rPr>
                <w:rFonts w:hint="default" w:ascii="宋体" w:hAnsi="宋体" w:eastAsia="宋体" w:cs="Arial"/>
                <w:kern w:val="0"/>
                <w:sz w:val="20"/>
                <w:szCs w:val="20"/>
                <w:lang w:val="en-US"/>
              </w:rPr>
            </w:pPr>
            <w:r>
              <w:rPr>
                <w:rFonts w:hint="eastAsia" w:ascii="宋体" w:hAnsi="宋体" w:cs="宋体"/>
                <w:kern w:val="0"/>
                <w:sz w:val="20"/>
                <w:szCs w:val="20"/>
                <w:lang w:val="en-US" w:eastAsia="zh-CN"/>
              </w:rPr>
              <w:t>1、</w:t>
            </w:r>
            <w:r>
              <w:rPr>
                <w:rFonts w:hint="eastAsia" w:ascii="宋体" w:hAnsi="宋体" w:cs="宋体"/>
                <w:kern w:val="0"/>
                <w:sz w:val="20"/>
                <w:szCs w:val="20"/>
              </w:rPr>
              <w:t>通过</w:t>
            </w:r>
            <w:r>
              <w:rPr>
                <w:rFonts w:hint="eastAsia" w:ascii="宋体" w:hAnsi="宋体" w:cs="宋体"/>
                <w:kern w:val="0"/>
                <w:sz w:val="20"/>
                <w:szCs w:val="20"/>
                <w:lang w:eastAsia="zh-CN"/>
              </w:rPr>
              <w:t>开展无人机监测松材线虫病发生情况及除治情况共调查</w:t>
            </w:r>
            <w:r>
              <w:rPr>
                <w:rFonts w:hint="eastAsia" w:ascii="宋体" w:hAnsi="宋体" w:cs="宋体"/>
                <w:kern w:val="0"/>
                <w:sz w:val="20"/>
                <w:szCs w:val="20"/>
                <w:lang w:val="en-US" w:eastAsia="zh-CN"/>
              </w:rPr>
              <w:t>10万亩</w:t>
            </w:r>
            <w:r>
              <w:rPr>
                <w:rFonts w:hint="eastAsia" w:ascii="宋体" w:hAnsi="宋体" w:cs="宋体"/>
                <w:kern w:val="0"/>
                <w:sz w:val="20"/>
                <w:szCs w:val="20"/>
              </w:rPr>
              <w:t>，有效</w:t>
            </w:r>
            <w:r>
              <w:rPr>
                <w:rFonts w:hint="eastAsia" w:ascii="宋体" w:hAnsi="宋体" w:cs="宋体"/>
                <w:kern w:val="0"/>
                <w:sz w:val="20"/>
                <w:szCs w:val="20"/>
                <w:lang w:eastAsia="zh-CN"/>
              </w:rPr>
              <w:t>开展松材线虫病除治质量检查。</w:t>
            </w:r>
            <w:r>
              <w:rPr>
                <w:rFonts w:hint="eastAsia" w:ascii="宋体" w:hAnsi="宋体" w:cs="宋体"/>
                <w:kern w:val="0"/>
                <w:sz w:val="20"/>
                <w:szCs w:val="20"/>
                <w:lang w:val="en-US" w:eastAsia="zh-CN"/>
              </w:rPr>
              <w:t>2、培训全市工作人员75人。3、完成检疫执法、产地检疫等工作</w:t>
            </w:r>
          </w:p>
          <w:p>
            <w:pPr>
              <w:widowControl/>
              <w:spacing w:line="240" w:lineRule="exact"/>
              <w:jc w:val="center"/>
              <w:rPr>
                <w:rFonts w:ascii="Times New Roman" w:hAnsi="Times New Roman" w:eastAsia="仿宋_GB2312"/>
                <w:bCs/>
                <w:kern w:val="0"/>
                <w:sz w:val="24"/>
              </w:rPr>
            </w:pPr>
          </w:p>
        </w:tc>
      </w:tr>
      <w:tr>
        <w:tblPrEx>
          <w:tblCellMar>
            <w:top w:w="0" w:type="dxa"/>
            <w:left w:w="108" w:type="dxa"/>
            <w:bottom w:w="0" w:type="dxa"/>
            <w:right w:w="108" w:type="dxa"/>
          </w:tblCellMar>
        </w:tblPrEx>
        <w:trPr>
          <w:trHeight w:val="910" w:hRule="atLeast"/>
          <w:jc w:val="center"/>
        </w:trPr>
        <w:tc>
          <w:tcPr>
            <w:tcW w:w="648" w:type="dxa"/>
            <w:vMerge w:val="restart"/>
            <w:tcBorders>
              <w:top w:val="single" w:color="000000" w:sz="4" w:space="0"/>
              <w:left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r>
              <w:rPr>
                <w:rFonts w:ascii="Times New Roman" w:hAnsi="Times New Roman" w:eastAsia="仿宋_GB2312"/>
                <w:kern w:val="0"/>
                <w:sz w:val="24"/>
              </w:rPr>
              <w:t>绩 效 指 标</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r>
              <w:rPr>
                <w:rFonts w:ascii="Times New Roman" w:hAnsi="Times New Roman" w:eastAsia="仿宋_GB2312"/>
                <w:kern w:val="0"/>
                <w:sz w:val="24"/>
              </w:rPr>
              <w:t>一级指标</w:t>
            </w:r>
          </w:p>
        </w:tc>
        <w:tc>
          <w:tcPr>
            <w:tcW w:w="11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r>
              <w:rPr>
                <w:rFonts w:ascii="Times New Roman" w:hAnsi="Times New Roman" w:eastAsia="仿宋_GB2312"/>
                <w:kern w:val="0"/>
                <w:sz w:val="24"/>
              </w:rPr>
              <w:t>二级指标</w:t>
            </w: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r>
              <w:rPr>
                <w:rFonts w:ascii="Times New Roman" w:hAnsi="Times New Roman" w:eastAsia="仿宋_GB2312"/>
                <w:kern w:val="0"/>
                <w:sz w:val="24"/>
              </w:rPr>
              <w:t>三级指标</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r>
              <w:rPr>
                <w:rFonts w:ascii="Times New Roman" w:hAnsi="Times New Roman" w:eastAsia="仿宋_GB2312"/>
                <w:kern w:val="0"/>
                <w:sz w:val="24"/>
              </w:rPr>
              <w:t>年度指标值</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r>
              <w:rPr>
                <w:rFonts w:ascii="Times New Roman" w:hAnsi="Times New Roman" w:eastAsia="仿宋_GB2312"/>
                <w:kern w:val="0"/>
                <w:sz w:val="24"/>
              </w:rPr>
              <w:t>实际完成值</w:t>
            </w:r>
          </w:p>
        </w:tc>
        <w:tc>
          <w:tcPr>
            <w:tcW w:w="53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r>
              <w:rPr>
                <w:rFonts w:ascii="Times New Roman" w:hAnsi="Times New Roman" w:eastAsia="仿宋_GB2312"/>
                <w:kern w:val="0"/>
                <w:sz w:val="24"/>
              </w:rPr>
              <w:t>权重</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r>
              <w:rPr>
                <w:rFonts w:ascii="Times New Roman" w:hAnsi="Times New Roman" w:eastAsia="仿宋_GB2312"/>
                <w:kern w:val="0"/>
                <w:sz w:val="24"/>
              </w:rPr>
              <w:t>得分</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r>
              <w:rPr>
                <w:rFonts w:ascii="Times New Roman" w:hAnsi="Times New Roman" w:eastAsia="仿宋_GB2312"/>
                <w:kern w:val="0"/>
                <w:sz w:val="20"/>
                <w:szCs w:val="20"/>
              </w:rPr>
              <w:t>偏差原因分析及改进措施</w:t>
            </w:r>
            <w:r>
              <w:rPr>
                <w:rFonts w:ascii="Times New Roman" w:hAnsi="Times New Roman" w:eastAsia="仿宋_GB2312"/>
                <w:b/>
                <w:bCs/>
                <w:kern w:val="0"/>
                <w:sz w:val="20"/>
                <w:szCs w:val="20"/>
              </w:rPr>
              <w:t>（必填项，可另附说明）</w:t>
            </w:r>
          </w:p>
        </w:tc>
      </w:tr>
      <w:tr>
        <w:tblPrEx>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sz w:val="24"/>
              </w:rPr>
            </w:pPr>
          </w:p>
        </w:tc>
        <w:tc>
          <w:tcPr>
            <w:tcW w:w="1220"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Cs w:val="21"/>
              </w:rPr>
            </w:pPr>
            <w:r>
              <w:rPr>
                <w:rFonts w:ascii="Times New Roman" w:hAnsi="Times New Roman" w:eastAsia="仿宋_GB2312"/>
                <w:kern w:val="0"/>
                <w:szCs w:val="21"/>
              </w:rPr>
              <w:t>产出指标（50分）</w:t>
            </w:r>
          </w:p>
        </w:tc>
        <w:tc>
          <w:tcPr>
            <w:tcW w:w="1116" w:type="dxa"/>
            <w:tcBorders>
              <w:top w:val="single" w:color="000000" w:sz="4" w:space="0"/>
              <w:left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Cs w:val="21"/>
              </w:rPr>
            </w:pPr>
            <w:r>
              <w:rPr>
                <w:rFonts w:hint="eastAsia" w:ascii="宋体" w:hAnsi="宋体" w:cs="宋体"/>
                <w:kern w:val="0"/>
                <w:sz w:val="20"/>
                <w:szCs w:val="20"/>
              </w:rPr>
              <w:t>数量目标</w:t>
            </w: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kern w:val="0"/>
                <w:szCs w:val="21"/>
              </w:rPr>
            </w:pPr>
            <w:r>
              <w:rPr>
                <w:rFonts w:hint="eastAsia" w:ascii="宋体" w:hAnsi="宋体" w:cs="宋体"/>
                <w:color w:val="000000"/>
                <w:kern w:val="0"/>
                <w:sz w:val="20"/>
                <w:szCs w:val="20"/>
                <w:lang w:bidi="ar"/>
              </w:rPr>
              <w:t>项目完成率</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kern w:val="0"/>
                <w:szCs w:val="21"/>
              </w:rPr>
            </w:pPr>
            <w:r>
              <w:rPr>
                <w:rFonts w:hint="eastAsia" w:ascii="宋体" w:hAnsi="宋体" w:cs="宋体"/>
                <w:kern w:val="0"/>
                <w:sz w:val="20"/>
                <w:szCs w:val="20"/>
              </w:rPr>
              <w:t>完成</w:t>
            </w:r>
            <w:r>
              <w:rPr>
                <w:rFonts w:hint="eastAsia" w:ascii="宋体" w:hAnsi="宋体" w:cs="宋体"/>
                <w:kern w:val="0"/>
                <w:sz w:val="20"/>
                <w:szCs w:val="20"/>
                <w:lang w:eastAsia="zh-CN"/>
              </w:rPr>
              <w:t>松材线虫病发生情况无人机调查</w:t>
            </w:r>
            <w:r>
              <w:rPr>
                <w:rFonts w:hint="eastAsia" w:ascii="宋体" w:hAnsi="宋体" w:cs="宋体"/>
                <w:kern w:val="0"/>
                <w:sz w:val="20"/>
                <w:szCs w:val="20"/>
                <w:lang w:val="en-US" w:eastAsia="zh-CN"/>
              </w:rPr>
              <w:t>8</w:t>
            </w:r>
            <w:r>
              <w:rPr>
                <w:rFonts w:hint="eastAsia" w:ascii="宋体" w:hAnsi="宋体" w:cs="宋体"/>
                <w:kern w:val="0"/>
                <w:sz w:val="20"/>
                <w:szCs w:val="20"/>
              </w:rPr>
              <w:t>万亩。</w:t>
            </w:r>
            <w:r>
              <w:rPr>
                <w:rFonts w:hint="eastAsia" w:ascii="宋体" w:hAnsi="宋体" w:cs="宋体"/>
                <w:kern w:val="0"/>
                <w:sz w:val="20"/>
                <w:szCs w:val="20"/>
                <w:lang w:val="en-US" w:eastAsia="zh-CN"/>
              </w:rPr>
              <w:t>2.</w:t>
            </w:r>
            <w:r>
              <w:rPr>
                <w:rFonts w:hint="eastAsia" w:ascii="宋体" w:hAnsi="宋体" w:cs="宋体"/>
                <w:kern w:val="0"/>
                <w:sz w:val="20"/>
                <w:szCs w:val="20"/>
              </w:rPr>
              <w:t>培训森检员40人</w:t>
            </w:r>
            <w:r>
              <w:rPr>
                <w:rFonts w:hint="eastAsia" w:ascii="宋体" w:hAnsi="宋体" w:cs="宋体"/>
                <w:kern w:val="0"/>
                <w:sz w:val="20"/>
                <w:szCs w:val="20"/>
                <w:lang w:eastAsia="zh-CN"/>
              </w:rPr>
              <w:t>、古树名木</w:t>
            </w:r>
            <w:r>
              <w:rPr>
                <w:rFonts w:hint="eastAsia" w:ascii="宋体" w:hAnsi="宋体" w:cs="宋体"/>
                <w:kern w:val="0"/>
                <w:sz w:val="20"/>
                <w:szCs w:val="20"/>
                <w:lang w:val="en-US" w:eastAsia="zh-CN"/>
              </w:rPr>
              <w:t>30人</w:t>
            </w:r>
            <w:r>
              <w:rPr>
                <w:rFonts w:hint="eastAsia" w:ascii="宋体" w:hAnsi="宋体" w:cs="宋体"/>
                <w:kern w:val="0"/>
                <w:sz w:val="20"/>
                <w:szCs w:val="20"/>
              </w:rPr>
              <w:t>。</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无人机调查10万亩，培训森检员43人、古树名木32人。</w:t>
            </w:r>
          </w:p>
        </w:tc>
        <w:tc>
          <w:tcPr>
            <w:tcW w:w="53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25</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25</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Times New Roman" w:hAnsi="Times New Roman" w:eastAsia="宋体"/>
                <w:kern w:val="0"/>
                <w:szCs w:val="21"/>
                <w:lang w:eastAsia="zh-CN"/>
              </w:rPr>
            </w:pPr>
            <w:r>
              <w:rPr>
                <w:rFonts w:hint="eastAsia" w:ascii="Times New Roman" w:hAnsi="Times New Roman"/>
                <w:kern w:val="0"/>
                <w:szCs w:val="21"/>
                <w:lang w:eastAsia="zh-CN"/>
              </w:rPr>
              <w:t>无</w:t>
            </w:r>
          </w:p>
        </w:tc>
      </w:tr>
      <w:tr>
        <w:tblPrEx>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sz w:val="24"/>
              </w:rPr>
            </w:pPr>
          </w:p>
        </w:tc>
        <w:tc>
          <w:tcPr>
            <w:tcW w:w="12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szCs w:val="21"/>
              </w:rPr>
            </w:pPr>
          </w:p>
        </w:tc>
        <w:tc>
          <w:tcPr>
            <w:tcW w:w="1116" w:type="dxa"/>
            <w:tcBorders>
              <w:top w:val="single" w:color="000000" w:sz="4" w:space="0"/>
              <w:left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Cs w:val="21"/>
              </w:rPr>
            </w:pPr>
            <w:r>
              <w:rPr>
                <w:rFonts w:hint="eastAsia" w:ascii="宋体" w:hAnsi="宋体" w:cs="宋体"/>
                <w:color w:val="000000"/>
                <w:kern w:val="0"/>
                <w:sz w:val="20"/>
                <w:szCs w:val="20"/>
                <w:lang w:bidi="ar"/>
              </w:rPr>
              <w:t>项目完成情况</w:t>
            </w: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kern w:val="0"/>
                <w:szCs w:val="21"/>
              </w:rPr>
            </w:pPr>
            <w:r>
              <w:rPr>
                <w:rFonts w:hint="eastAsia" w:ascii="宋体" w:hAnsi="宋体" w:cs="宋体"/>
                <w:color w:val="000000"/>
                <w:kern w:val="0"/>
                <w:sz w:val="20"/>
                <w:szCs w:val="20"/>
                <w:lang w:bidi="ar"/>
              </w:rPr>
              <w:t>完成及时率</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240" w:lineRule="exact"/>
              <w:ind w:leftChars="0"/>
              <w:jc w:val="left"/>
              <w:rPr>
                <w:rFonts w:ascii="Times New Roman" w:hAnsi="Times New Roman"/>
                <w:kern w:val="0"/>
                <w:szCs w:val="21"/>
              </w:rPr>
            </w:pPr>
            <w:r>
              <w:rPr>
                <w:rFonts w:hint="eastAsia" w:ascii="宋体" w:hAnsi="宋体" w:cs="宋体"/>
                <w:kern w:val="0"/>
                <w:sz w:val="20"/>
                <w:szCs w:val="20"/>
                <w:lang w:val="en-US" w:eastAsia="zh-CN"/>
              </w:rPr>
              <w:t>5</w:t>
            </w:r>
            <w:r>
              <w:rPr>
                <w:rFonts w:hint="eastAsia" w:ascii="宋体" w:hAnsi="宋体" w:cs="宋体"/>
                <w:kern w:val="0"/>
                <w:sz w:val="20"/>
                <w:szCs w:val="20"/>
              </w:rPr>
              <w:t>月份完成</w:t>
            </w:r>
            <w:r>
              <w:rPr>
                <w:rFonts w:hint="eastAsia" w:ascii="宋体" w:hAnsi="宋体" w:eastAsia="宋体" w:cs="Arial"/>
                <w:kern w:val="0"/>
                <w:sz w:val="20"/>
                <w:szCs w:val="20"/>
                <w:lang w:val="en-US" w:eastAsia="zh-CN"/>
              </w:rPr>
              <w:t>全市松材线虫病发生和除治情况抽查</w:t>
            </w:r>
            <w:r>
              <w:rPr>
                <w:rFonts w:hint="eastAsia" w:ascii="宋体" w:hAnsi="宋体" w:cs="宋体"/>
                <w:kern w:val="0"/>
                <w:sz w:val="20"/>
                <w:szCs w:val="20"/>
              </w:rPr>
              <w:t>。春季产地检疫6月底前完成,秋季产地检疫12月底前完成。　</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5</w:t>
            </w:r>
            <w:r>
              <w:rPr>
                <w:rFonts w:hint="eastAsia" w:ascii="宋体" w:hAnsi="宋体" w:cs="宋体"/>
                <w:kern w:val="0"/>
                <w:sz w:val="20"/>
                <w:szCs w:val="20"/>
              </w:rPr>
              <w:t>月份完成</w:t>
            </w:r>
            <w:r>
              <w:rPr>
                <w:rFonts w:hint="eastAsia" w:ascii="宋体" w:hAnsi="宋体" w:eastAsia="宋体" w:cs="Arial"/>
                <w:kern w:val="0"/>
                <w:sz w:val="20"/>
                <w:szCs w:val="20"/>
                <w:lang w:val="en-US" w:eastAsia="zh-CN"/>
              </w:rPr>
              <w:t>全市松材线虫病发生和除治情况抽查</w:t>
            </w:r>
            <w:r>
              <w:rPr>
                <w:rFonts w:hint="eastAsia" w:ascii="宋体" w:hAnsi="宋体" w:cs="宋体"/>
                <w:kern w:val="0"/>
                <w:sz w:val="20"/>
                <w:szCs w:val="20"/>
              </w:rPr>
              <w:t>。春季产地检疫6月底前完成,秋季产地检疫12月底前完成。</w:t>
            </w:r>
          </w:p>
        </w:tc>
        <w:tc>
          <w:tcPr>
            <w:tcW w:w="53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25</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25</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kern w:val="0"/>
                <w:szCs w:val="21"/>
              </w:rPr>
            </w:pPr>
            <w:r>
              <w:rPr>
                <w:rFonts w:hint="eastAsia" w:ascii="Times New Roman" w:hAnsi="Times New Roman"/>
                <w:kern w:val="0"/>
                <w:szCs w:val="21"/>
                <w:lang w:eastAsia="zh-CN"/>
              </w:rPr>
              <w:t>无</w:t>
            </w:r>
          </w:p>
        </w:tc>
      </w:tr>
      <w:tr>
        <w:tblPrEx>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p>
        </w:tc>
        <w:tc>
          <w:tcPr>
            <w:tcW w:w="1220"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Cs w:val="21"/>
              </w:rPr>
            </w:pPr>
            <w:r>
              <w:rPr>
                <w:rFonts w:ascii="Times New Roman" w:hAnsi="Times New Roman" w:eastAsia="仿宋_GB2312"/>
                <w:kern w:val="0"/>
                <w:szCs w:val="21"/>
              </w:rPr>
              <w:t>效益指标（30分）</w:t>
            </w:r>
          </w:p>
        </w:tc>
        <w:tc>
          <w:tcPr>
            <w:tcW w:w="1116" w:type="dxa"/>
            <w:tcBorders>
              <w:top w:val="single" w:color="000000" w:sz="4" w:space="0"/>
              <w:left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Cs w:val="21"/>
              </w:rPr>
            </w:pPr>
            <w:r>
              <w:rPr>
                <w:rFonts w:hint="eastAsia" w:ascii="宋体" w:hAnsi="宋体" w:cs="宋体"/>
                <w:color w:val="000000"/>
                <w:kern w:val="0"/>
                <w:sz w:val="20"/>
                <w:szCs w:val="20"/>
                <w:lang w:bidi="ar"/>
              </w:rPr>
              <w:t>实施效益</w:t>
            </w: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kern w:val="0"/>
                <w:szCs w:val="21"/>
              </w:rPr>
            </w:pPr>
            <w:r>
              <w:rPr>
                <w:rFonts w:hint="eastAsia" w:ascii="宋体" w:hAnsi="宋体" w:cs="宋体"/>
                <w:color w:val="000000"/>
                <w:kern w:val="0"/>
                <w:sz w:val="20"/>
                <w:szCs w:val="20"/>
                <w:lang w:bidi="ar"/>
              </w:rPr>
              <w:t>经济效益</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kern w:val="0"/>
                <w:szCs w:val="21"/>
              </w:rPr>
            </w:pPr>
            <w:r>
              <w:rPr>
                <w:rFonts w:hint="eastAsia" w:ascii="宋体" w:hAnsi="宋体" w:cs="宋体"/>
                <w:kern w:val="0"/>
                <w:sz w:val="20"/>
                <w:szCs w:val="20"/>
              </w:rPr>
              <w:t>不产生经济效益。</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宋体" w:hAnsi="宋体" w:eastAsia="宋体" w:cs="宋体"/>
                <w:kern w:val="0"/>
                <w:sz w:val="20"/>
                <w:szCs w:val="20"/>
                <w:lang w:val="en-US" w:eastAsia="zh-CN"/>
              </w:rPr>
            </w:pPr>
            <w:r>
              <w:rPr>
                <w:rFonts w:hint="eastAsia" w:ascii="宋体" w:hAnsi="宋体" w:cs="宋体"/>
                <w:kern w:val="0"/>
                <w:sz w:val="20"/>
                <w:szCs w:val="20"/>
              </w:rPr>
              <w:t>不产生经济效益。</w:t>
            </w:r>
          </w:p>
        </w:tc>
        <w:tc>
          <w:tcPr>
            <w:tcW w:w="53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15</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15</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kern w:val="0"/>
                <w:szCs w:val="21"/>
              </w:rPr>
            </w:pPr>
            <w:r>
              <w:rPr>
                <w:rFonts w:hint="eastAsia" w:ascii="Times New Roman" w:hAnsi="Times New Roman"/>
                <w:kern w:val="0"/>
                <w:szCs w:val="21"/>
                <w:lang w:eastAsia="zh-CN"/>
              </w:rPr>
              <w:t>无</w:t>
            </w:r>
          </w:p>
        </w:tc>
      </w:tr>
      <w:tr>
        <w:tblPrEx>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sz w:val="24"/>
              </w:rPr>
            </w:pPr>
          </w:p>
        </w:tc>
        <w:tc>
          <w:tcPr>
            <w:tcW w:w="12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szCs w:val="21"/>
              </w:rPr>
            </w:pPr>
          </w:p>
        </w:tc>
        <w:tc>
          <w:tcPr>
            <w:tcW w:w="1116" w:type="dxa"/>
            <w:tcBorders>
              <w:top w:val="single" w:color="000000" w:sz="4" w:space="0"/>
              <w:left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Cs w:val="21"/>
              </w:rPr>
            </w:pPr>
            <w:r>
              <w:rPr>
                <w:rFonts w:hint="eastAsia" w:ascii="宋体" w:hAnsi="宋体" w:cs="宋体"/>
                <w:color w:val="000000"/>
                <w:kern w:val="0"/>
                <w:sz w:val="20"/>
                <w:szCs w:val="20"/>
                <w:lang w:bidi="ar"/>
              </w:rPr>
              <w:t>实施效益</w:t>
            </w: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kern w:val="0"/>
                <w:szCs w:val="21"/>
              </w:rPr>
            </w:pPr>
            <w:r>
              <w:rPr>
                <w:rFonts w:hint="eastAsia" w:ascii="宋体" w:hAnsi="宋体" w:cs="宋体"/>
                <w:color w:val="000000"/>
                <w:kern w:val="0"/>
                <w:sz w:val="20"/>
                <w:szCs w:val="20"/>
                <w:lang w:bidi="ar"/>
              </w:rPr>
              <w:t>社会效益</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kern w:val="0"/>
                <w:szCs w:val="21"/>
              </w:rPr>
            </w:pPr>
            <w:r>
              <w:rPr>
                <w:rFonts w:hint="eastAsia" w:ascii="宋体" w:hAnsi="宋体" w:cs="宋体"/>
                <w:kern w:val="0"/>
                <w:sz w:val="20"/>
                <w:szCs w:val="20"/>
              </w:rPr>
              <w:t>切实保护我市森林资源。履行好部门职能，保护森林资源和自然景观。切实保护我市森林资源和双龙风景区的自然景观。切实保护我市古树名木资源</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切实保护我市森林资源。履行好部门职能，保护森林资源和自然景观。切实保护我市森林资源和双龙风景区的自然景观。切实保护我市古树名木资源</w:t>
            </w:r>
          </w:p>
        </w:tc>
        <w:tc>
          <w:tcPr>
            <w:tcW w:w="53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15</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15</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kern w:val="0"/>
                <w:szCs w:val="21"/>
              </w:rPr>
            </w:pPr>
            <w:r>
              <w:rPr>
                <w:rFonts w:hint="eastAsia" w:ascii="Times New Roman" w:hAnsi="Times New Roman"/>
                <w:kern w:val="0"/>
                <w:szCs w:val="21"/>
                <w:lang w:eastAsia="zh-CN"/>
              </w:rPr>
              <w:t>无</w:t>
            </w:r>
          </w:p>
        </w:tc>
      </w:tr>
      <w:tr>
        <w:tblPrEx>
          <w:tblCellMar>
            <w:top w:w="0" w:type="dxa"/>
            <w:left w:w="108" w:type="dxa"/>
            <w:bottom w:w="0" w:type="dxa"/>
            <w:right w:w="108" w:type="dxa"/>
          </w:tblCellMar>
        </w:tblPrEx>
        <w:trPr>
          <w:trHeight w:val="611"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p>
        </w:tc>
        <w:tc>
          <w:tcPr>
            <w:tcW w:w="1220"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rPr>
                <w:rFonts w:ascii="Times New Roman" w:hAnsi="Times New Roman" w:eastAsia="仿宋_GB2312"/>
                <w:kern w:val="0"/>
                <w:szCs w:val="21"/>
              </w:rPr>
            </w:pPr>
            <w:r>
              <w:rPr>
                <w:rFonts w:ascii="Times New Roman" w:hAnsi="Times New Roman" w:eastAsia="仿宋_GB2312"/>
                <w:kern w:val="0"/>
                <w:szCs w:val="21"/>
              </w:rPr>
              <w:t>满意度指标（10分）</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kern w:val="0"/>
                <w:szCs w:val="21"/>
              </w:rPr>
            </w:pPr>
            <w:r>
              <w:rPr>
                <w:rFonts w:hint="eastAsia" w:ascii="宋体" w:hAnsi="宋体" w:cs="宋体"/>
                <w:color w:val="000000"/>
                <w:kern w:val="0"/>
                <w:sz w:val="20"/>
                <w:szCs w:val="20"/>
                <w:lang w:bidi="ar"/>
              </w:rPr>
              <w:t>实施效益</w:t>
            </w:r>
          </w:p>
        </w:tc>
        <w:tc>
          <w:tcPr>
            <w:tcW w:w="1173"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rPr>
                <w:rFonts w:ascii="Times New Roman" w:hAnsi="Times New Roman"/>
                <w:kern w:val="0"/>
                <w:szCs w:val="21"/>
              </w:rPr>
            </w:pPr>
            <w:r>
              <w:rPr>
                <w:rFonts w:hint="eastAsia" w:ascii="宋体" w:hAnsi="宋体" w:cs="宋体"/>
                <w:color w:val="000000"/>
                <w:kern w:val="0"/>
                <w:sz w:val="20"/>
                <w:szCs w:val="20"/>
                <w:lang w:bidi="ar"/>
              </w:rPr>
              <w:t>社会公众或服务对象满意度</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90%</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100%</w:t>
            </w:r>
          </w:p>
        </w:tc>
        <w:tc>
          <w:tcPr>
            <w:tcW w:w="53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10</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tabs>
                <w:tab w:val="left" w:pos="357"/>
              </w:tabs>
              <w:spacing w:line="240" w:lineRule="exact"/>
              <w:jc w:val="left"/>
              <w:rPr>
                <w:rFonts w:ascii="Times New Roman" w:hAnsi="Times New Roman"/>
                <w:kern w:val="0"/>
                <w:szCs w:val="21"/>
              </w:rPr>
            </w:pPr>
            <w:r>
              <w:rPr>
                <w:rFonts w:hint="eastAsia" w:ascii="Times New Roman" w:hAnsi="Times New Roman"/>
                <w:kern w:val="0"/>
                <w:szCs w:val="21"/>
                <w:lang w:val="en-US" w:eastAsia="zh-CN"/>
              </w:rPr>
              <w:t>10</w:t>
            </w:r>
            <w:r>
              <w:rPr>
                <w:rFonts w:ascii="Times New Roman" w:hAnsi="Times New Roman"/>
                <w:kern w:val="0"/>
                <w:szCs w:val="21"/>
              </w:rPr>
              <w:tab/>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kern w:val="0"/>
                <w:szCs w:val="21"/>
              </w:rPr>
            </w:pPr>
            <w:r>
              <w:rPr>
                <w:rFonts w:hint="eastAsia" w:ascii="Times New Roman" w:hAnsi="Times New Roman"/>
                <w:kern w:val="0"/>
                <w:szCs w:val="21"/>
                <w:lang w:eastAsia="zh-CN"/>
              </w:rPr>
              <w:t>无</w:t>
            </w:r>
          </w:p>
        </w:tc>
      </w:tr>
      <w:tr>
        <w:tblPrEx>
          <w:tblCellMar>
            <w:top w:w="0" w:type="dxa"/>
            <w:left w:w="108" w:type="dxa"/>
            <w:bottom w:w="0" w:type="dxa"/>
            <w:right w:w="108" w:type="dxa"/>
          </w:tblCellMar>
        </w:tblPrEx>
        <w:trPr>
          <w:trHeight w:val="611" w:hRule="atLeast"/>
          <w:jc w:val="center"/>
        </w:trPr>
        <w:tc>
          <w:tcPr>
            <w:tcW w:w="648" w:type="dxa"/>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p>
        </w:tc>
        <w:tc>
          <w:tcPr>
            <w:tcW w:w="1220"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rPr>
                <w:rFonts w:ascii="Times New Roman" w:hAnsi="Times New Roman" w:eastAsia="仿宋_GB2312"/>
                <w:kern w:val="0"/>
                <w:szCs w:val="21"/>
              </w:rPr>
            </w:pPr>
            <w:r>
              <w:rPr>
                <w:rFonts w:ascii="Times New Roman" w:hAnsi="Times New Roman" w:eastAsia="仿宋_GB2312"/>
                <w:kern w:val="0"/>
                <w:szCs w:val="21"/>
              </w:rPr>
              <w:t>执行率指标（10分）</w:t>
            </w:r>
          </w:p>
        </w:tc>
        <w:tc>
          <w:tcPr>
            <w:tcW w:w="4880" w:type="dxa"/>
            <w:gridSpan w:val="6"/>
            <w:tcBorders>
              <w:top w:val="single" w:color="auto" w:sz="4" w:space="0"/>
              <w:left w:val="single" w:color="auto" w:sz="4" w:space="0"/>
              <w:bottom w:val="single" w:color="auto" w:sz="4" w:space="0"/>
              <w:right w:val="single" w:color="000000" w:sz="4" w:space="0"/>
            </w:tcBorders>
            <w:vAlign w:val="center"/>
          </w:tcPr>
          <w:p>
            <w:pPr>
              <w:widowControl/>
              <w:spacing w:line="240" w:lineRule="exact"/>
              <w:rPr>
                <w:rFonts w:ascii="Times New Roman" w:hAnsi="Times New Roman" w:eastAsia="仿宋_GB2312"/>
                <w:kern w:val="0"/>
                <w:szCs w:val="21"/>
              </w:rPr>
            </w:pPr>
            <w:r>
              <w:rPr>
                <w:rFonts w:ascii="Times New Roman" w:hAnsi="Times New Roman" w:eastAsia="仿宋_GB2312"/>
                <w:kern w:val="0"/>
                <w:szCs w:val="21"/>
              </w:rPr>
              <w:t>资金执行率：</w:t>
            </w:r>
          </w:p>
          <w:p>
            <w:pPr>
              <w:widowControl/>
              <w:spacing w:line="240" w:lineRule="exact"/>
              <w:jc w:val="center"/>
              <w:rPr>
                <w:rFonts w:ascii="Times New Roman" w:hAnsi="Times New Roman"/>
                <w:kern w:val="0"/>
                <w:szCs w:val="21"/>
              </w:rPr>
            </w:pPr>
            <w:r>
              <w:rPr>
                <w:rFonts w:ascii="Times New Roman" w:hAnsi="Times New Roman" w:eastAsia="仿宋_GB2312"/>
                <w:kern w:val="0"/>
                <w:szCs w:val="21"/>
              </w:rPr>
              <w:t>（计算方式：执行率自评得分</w:t>
            </w:r>
            <w:r>
              <w:rPr>
                <w:rFonts w:ascii="Times New Roman" w:hAnsi="Times New Roman" w:eastAsia="仿宋_GB2312"/>
                <w:kern w:val="0"/>
                <w:sz w:val="22"/>
                <w:szCs w:val="22"/>
              </w:rPr>
              <w:t>=</w:t>
            </w:r>
            <w:r>
              <w:rPr>
                <w:rFonts w:ascii="Times New Roman" w:hAnsi="Times New Roman" w:eastAsia="仿宋_GB2312"/>
                <w:kern w:val="0"/>
                <w:szCs w:val="21"/>
              </w:rPr>
              <w:t>资金执行率</w:t>
            </w:r>
            <w:r>
              <w:rPr>
                <w:rFonts w:ascii="Times New Roman" w:hAnsi="Times New Roman" w:eastAsia="仿宋_GB2312"/>
                <w:kern w:val="0"/>
                <w:sz w:val="22"/>
                <w:szCs w:val="22"/>
              </w:rPr>
              <w:t>*</w:t>
            </w:r>
            <w:r>
              <w:rPr>
                <w:rFonts w:ascii="Times New Roman" w:hAnsi="Times New Roman" w:eastAsia="仿宋_GB2312"/>
                <w:kern w:val="0"/>
                <w:szCs w:val="21"/>
              </w:rPr>
              <w:t>10）</w:t>
            </w:r>
          </w:p>
        </w:tc>
        <w:tc>
          <w:tcPr>
            <w:tcW w:w="53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kern w:val="0"/>
                <w:szCs w:val="21"/>
              </w:rPr>
            </w:pPr>
            <w:r>
              <w:rPr>
                <w:rFonts w:ascii="Times New Roman" w:hAnsi="Times New Roman"/>
                <w:kern w:val="0"/>
                <w:szCs w:val="21"/>
              </w:rPr>
              <w:t>10</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tabs>
                <w:tab w:val="left" w:pos="357"/>
              </w:tabs>
              <w:spacing w:line="240" w:lineRule="exact"/>
              <w:jc w:val="left"/>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7.75</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Times New Roman" w:hAnsi="Times New Roman" w:eastAsia="宋体"/>
                <w:kern w:val="0"/>
                <w:szCs w:val="21"/>
                <w:lang w:eastAsia="zh-CN"/>
              </w:rPr>
            </w:pPr>
            <w:r>
              <w:rPr>
                <w:rFonts w:hint="eastAsia" w:ascii="Times New Roman" w:hAnsi="Times New Roman"/>
                <w:kern w:val="0"/>
                <w:szCs w:val="21"/>
                <w:lang w:eastAsia="zh-CN"/>
              </w:rPr>
              <w:t>疫情影响，对县（市、区）业务指导、检查较少</w:t>
            </w:r>
          </w:p>
        </w:tc>
      </w:tr>
      <w:tr>
        <w:tblPrEx>
          <w:tblCellMar>
            <w:top w:w="0" w:type="dxa"/>
            <w:left w:w="108" w:type="dxa"/>
            <w:bottom w:w="0" w:type="dxa"/>
            <w:right w:w="108" w:type="dxa"/>
          </w:tblCellMar>
        </w:tblPrEx>
        <w:trPr>
          <w:trHeight w:val="311" w:hRule="atLeast"/>
          <w:jc w:val="center"/>
        </w:trPr>
        <w:tc>
          <w:tcPr>
            <w:tcW w:w="648" w:type="dxa"/>
            <w:tcBorders>
              <w:left w:val="single" w:color="000000" w:sz="4" w:space="0"/>
              <w:bottom w:val="single" w:color="auto" w:sz="4" w:space="0"/>
              <w:right w:val="single" w:color="000000" w:sz="4" w:space="0"/>
            </w:tcBorders>
            <w:vAlign w:val="center"/>
          </w:tcPr>
          <w:p>
            <w:pPr>
              <w:widowControl/>
              <w:spacing w:line="240" w:lineRule="exact"/>
              <w:jc w:val="center"/>
              <w:rPr>
                <w:rFonts w:ascii="Times New Roman" w:hAnsi="Times New Roman" w:eastAsia="仿宋_GB2312"/>
                <w:kern w:val="0"/>
                <w:sz w:val="24"/>
              </w:rPr>
            </w:pPr>
          </w:p>
        </w:tc>
        <w:tc>
          <w:tcPr>
            <w:tcW w:w="6100" w:type="dxa"/>
            <w:gridSpan w:val="9"/>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center"/>
              <w:rPr>
                <w:rFonts w:ascii="Times New Roman" w:hAnsi="Times New Roman"/>
                <w:kern w:val="0"/>
                <w:szCs w:val="21"/>
              </w:rPr>
            </w:pPr>
            <w:r>
              <w:rPr>
                <w:rFonts w:ascii="Times New Roman" w:hAnsi="Times New Roman"/>
                <w:kern w:val="0"/>
                <w:szCs w:val="21"/>
              </w:rPr>
              <w:t>总分</w:t>
            </w:r>
          </w:p>
        </w:tc>
        <w:tc>
          <w:tcPr>
            <w:tcW w:w="539"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center"/>
              <w:rPr>
                <w:rFonts w:ascii="Times New Roman" w:hAnsi="Times New Roman"/>
                <w:kern w:val="0"/>
                <w:szCs w:val="21"/>
              </w:rPr>
            </w:pPr>
            <w:r>
              <w:rPr>
                <w:rFonts w:ascii="Times New Roman" w:hAnsi="Times New Roman"/>
                <w:kern w:val="0"/>
                <w:szCs w:val="21"/>
              </w:rPr>
              <w:t>100</w:t>
            </w:r>
          </w:p>
        </w:tc>
        <w:tc>
          <w:tcPr>
            <w:tcW w:w="485" w:type="dxa"/>
            <w:tcBorders>
              <w:top w:val="single" w:color="000000" w:sz="4" w:space="0"/>
              <w:left w:val="single" w:color="000000" w:sz="4" w:space="0"/>
              <w:bottom w:val="single" w:color="auto" w:sz="4" w:space="0"/>
              <w:right w:val="single" w:color="000000" w:sz="4" w:space="0"/>
            </w:tcBorders>
            <w:vAlign w:val="center"/>
          </w:tcPr>
          <w:p>
            <w:pPr>
              <w:widowControl/>
              <w:tabs>
                <w:tab w:val="left" w:pos="357"/>
              </w:tabs>
              <w:spacing w:line="240" w:lineRule="exact"/>
              <w:jc w:val="left"/>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97.75</w:t>
            </w:r>
          </w:p>
        </w:tc>
        <w:tc>
          <w:tcPr>
            <w:tcW w:w="1808"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center"/>
              <w:rPr>
                <w:rFonts w:ascii="Times New Roman" w:hAnsi="Times New Roman"/>
                <w:kern w:val="0"/>
                <w:szCs w:val="21"/>
              </w:rPr>
            </w:pPr>
          </w:p>
        </w:tc>
      </w:tr>
      <w:tr>
        <w:tblPrEx>
          <w:tblCellMar>
            <w:top w:w="0" w:type="dxa"/>
            <w:left w:w="108" w:type="dxa"/>
            <w:bottom w:w="0" w:type="dxa"/>
            <w:right w:w="108" w:type="dxa"/>
          </w:tblCellMar>
        </w:tblPrEx>
        <w:trPr>
          <w:trHeight w:val="623" w:hRule="atLeast"/>
          <w:jc w:val="center"/>
        </w:trPr>
        <w:tc>
          <w:tcPr>
            <w:tcW w:w="1767"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kern w:val="0"/>
                <w:szCs w:val="21"/>
              </w:rPr>
            </w:pPr>
            <w:r>
              <w:rPr>
                <w:rFonts w:ascii="Times New Roman" w:hAnsi="Times New Roman" w:eastAsia="仿宋_GB2312"/>
                <w:bCs/>
                <w:kern w:val="0"/>
                <w:sz w:val="24"/>
              </w:rPr>
              <w:t>评价结果</w:t>
            </w:r>
          </w:p>
        </w:tc>
        <w:tc>
          <w:tcPr>
            <w:tcW w:w="5520" w:type="dxa"/>
            <w:gridSpan w:val="8"/>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ascii="Times New Roman" w:hAnsi="Times New Roman"/>
                <w:kern w:val="0"/>
                <w:szCs w:val="21"/>
              </w:rPr>
            </w:pPr>
            <w:r>
              <w:rPr>
                <w:rFonts w:ascii="Times New Roman" w:hAnsi="Times New Roman" w:eastAsia="仿宋_GB2312"/>
                <w:sz w:val="24"/>
              </w:rPr>
              <w:t>优：90分≤得分≤100分；良：80分≤得分&lt;90分；中：60分≤得分&lt;80分；差：得分&lt;60分</w:t>
            </w:r>
          </w:p>
        </w:tc>
        <w:tc>
          <w:tcPr>
            <w:tcW w:w="485" w:type="dxa"/>
            <w:tcBorders>
              <w:top w:val="single" w:color="auto" w:sz="4" w:space="0"/>
              <w:left w:val="single" w:color="000000" w:sz="4" w:space="0"/>
              <w:bottom w:val="single" w:color="auto" w:sz="4" w:space="0"/>
              <w:right w:val="single" w:color="000000" w:sz="4" w:space="0"/>
            </w:tcBorders>
            <w:vAlign w:val="center"/>
          </w:tcPr>
          <w:p>
            <w:pPr>
              <w:widowControl/>
              <w:tabs>
                <w:tab w:val="left" w:pos="357"/>
              </w:tabs>
              <w:spacing w:line="240" w:lineRule="exact"/>
              <w:jc w:val="left"/>
              <w:rPr>
                <w:rFonts w:hint="eastAsia" w:ascii="Times New Roman" w:hAnsi="Times New Roman" w:eastAsia="宋体"/>
                <w:kern w:val="0"/>
                <w:szCs w:val="21"/>
                <w:lang w:eastAsia="zh-CN"/>
              </w:rPr>
            </w:pPr>
            <w:r>
              <w:rPr>
                <w:rFonts w:hint="eastAsia" w:ascii="Times New Roman" w:hAnsi="Times New Roman"/>
                <w:kern w:val="0"/>
                <w:szCs w:val="21"/>
                <w:lang w:eastAsia="zh-CN"/>
              </w:rPr>
              <w:t>优</w:t>
            </w:r>
          </w:p>
        </w:tc>
        <w:tc>
          <w:tcPr>
            <w:tcW w:w="1808" w:type="dxa"/>
            <w:tcBorders>
              <w:top w:val="single" w:color="auto" w:sz="4" w:space="0"/>
              <w:left w:val="single" w:color="000000" w:sz="4" w:space="0"/>
              <w:bottom w:val="single" w:color="auto" w:sz="4" w:space="0"/>
              <w:right w:val="single" w:color="auto" w:sz="4" w:space="0"/>
            </w:tcBorders>
            <w:vAlign w:val="center"/>
          </w:tcPr>
          <w:p>
            <w:pPr>
              <w:widowControl/>
              <w:spacing w:line="240" w:lineRule="exact"/>
              <w:jc w:val="center"/>
              <w:rPr>
                <w:rFonts w:ascii="Times New Roman" w:hAnsi="Times New Roman"/>
                <w:kern w:val="0"/>
                <w:szCs w:val="21"/>
              </w:rPr>
            </w:pPr>
            <w:r>
              <w:rPr>
                <w:rFonts w:ascii="Times New Roman" w:hAnsi="Times New Roman"/>
                <w:bCs/>
                <w:kern w:val="0"/>
                <w:sz w:val="24"/>
              </w:rPr>
              <w:t>-</w:t>
            </w:r>
          </w:p>
        </w:tc>
      </w:tr>
    </w:tbl>
    <w:p>
      <w:pPr>
        <w:spacing w:beforeLines="0" w:afterLines="0" w:line="324" w:lineRule="auto"/>
        <w:rPr>
          <w:rFonts w:hint="eastAsia" w:ascii="仿宋" w:hAnsi="仿宋" w:eastAsia="仿宋"/>
          <w:color w:val="000000"/>
          <w:sz w:val="32"/>
          <w:highlight w:val="white"/>
          <w:lang w:val="en-US" w:eastAsia="zh-CN"/>
        </w:rPr>
      </w:pPr>
    </w:p>
    <w:p>
      <w:pPr>
        <w:numPr>
          <w:ilvl w:val="0"/>
          <w:numId w:val="4"/>
        </w:numPr>
        <w:spacing w:beforeLines="0" w:afterLines="0" w:line="324" w:lineRule="auto"/>
        <w:ind w:firstLine="594"/>
        <w:rPr>
          <w:rFonts w:hint="eastAsia" w:ascii="仿宋" w:hAnsi="仿宋" w:eastAsia="仿宋"/>
          <w:b/>
          <w:color w:val="000000"/>
          <w:sz w:val="32"/>
          <w:highlight w:val="white"/>
          <w:lang w:val="en-US"/>
        </w:rPr>
      </w:pPr>
      <w:r>
        <w:rPr>
          <w:rFonts w:hint="eastAsia" w:ascii="仿宋" w:hAnsi="仿宋" w:eastAsia="仿宋"/>
          <w:b/>
          <w:color w:val="000000"/>
          <w:sz w:val="32"/>
          <w:highlight w:val="white"/>
          <w:lang w:val="en-US"/>
        </w:rPr>
        <w:t>财政评价项目绩效评价结果</w:t>
      </w:r>
    </w:p>
    <w:p>
      <w:pPr>
        <w:numPr>
          <w:ilvl w:val="0"/>
          <w:numId w:val="0"/>
        </w:numPr>
        <w:spacing w:beforeLines="0" w:afterLines="0" w:line="324" w:lineRule="auto"/>
        <w:ind w:firstLine="640" w:firstLineChars="200"/>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本年</w:t>
      </w:r>
      <w:r>
        <w:rPr>
          <w:rFonts w:hint="eastAsia" w:ascii="仿宋" w:hAnsi="仿宋" w:eastAsia="仿宋"/>
          <w:color w:val="000000"/>
          <w:sz w:val="32"/>
          <w:highlight w:val="white"/>
          <w:lang w:val="en-US" w:eastAsia="zh-CN"/>
        </w:rPr>
        <w:t>未开展</w:t>
      </w:r>
      <w:r>
        <w:rPr>
          <w:rFonts w:hint="eastAsia" w:ascii="仿宋" w:hAnsi="仿宋" w:eastAsia="仿宋"/>
          <w:color w:val="000000"/>
          <w:sz w:val="32"/>
          <w:highlight w:val="white"/>
          <w:lang w:val="en-US"/>
        </w:rPr>
        <w:t>财政评价项目绩效评价</w:t>
      </w:r>
      <w:r>
        <w:rPr>
          <w:rFonts w:hint="eastAsia" w:ascii="仿宋" w:hAnsi="仿宋" w:eastAsia="仿宋"/>
          <w:color w:val="000000"/>
          <w:sz w:val="32"/>
          <w:highlight w:val="white"/>
          <w:lang w:val="en-US" w:eastAsia="zh-CN"/>
        </w:rPr>
        <w:t>，因此，无相关内容。</w:t>
      </w:r>
    </w:p>
    <w:p>
      <w:pPr>
        <w:spacing w:beforeLines="0" w:afterLines="0" w:line="324" w:lineRule="auto"/>
        <w:ind w:firstLine="594"/>
        <w:rPr>
          <w:rFonts w:hint="eastAsia" w:ascii="仿宋" w:hAnsi="仿宋" w:eastAsia="仿宋"/>
          <w:b/>
          <w:color w:val="000000"/>
          <w:sz w:val="32"/>
          <w:highlight w:val="white"/>
          <w:lang w:val="en-US"/>
        </w:rPr>
      </w:pPr>
      <w:r>
        <w:rPr>
          <w:rFonts w:hint="eastAsia" w:ascii="仿宋" w:hAnsi="仿宋" w:eastAsia="仿宋"/>
          <w:b/>
          <w:color w:val="000000"/>
          <w:sz w:val="32"/>
          <w:highlight w:val="white"/>
          <w:lang w:val="en-US"/>
        </w:rPr>
        <w:t>4.部门评价项目绩效评价结果</w:t>
      </w:r>
    </w:p>
    <w:p>
      <w:pPr>
        <w:numPr>
          <w:ilvl w:val="0"/>
          <w:numId w:val="0"/>
        </w:numPr>
        <w:spacing w:beforeLines="0" w:afterLines="0" w:line="324" w:lineRule="auto"/>
        <w:ind w:firstLine="640" w:firstLineChars="200"/>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本年</w:t>
      </w:r>
      <w:r>
        <w:rPr>
          <w:rFonts w:hint="eastAsia" w:ascii="仿宋" w:hAnsi="仿宋" w:eastAsia="仿宋"/>
          <w:color w:val="000000"/>
          <w:sz w:val="32"/>
          <w:highlight w:val="white"/>
          <w:lang w:val="en-US" w:eastAsia="zh-CN"/>
        </w:rPr>
        <w:t>未开展</w:t>
      </w:r>
      <w:r>
        <w:rPr>
          <w:rFonts w:hint="eastAsia" w:ascii="仿宋" w:hAnsi="仿宋" w:eastAsia="仿宋"/>
          <w:color w:val="000000"/>
          <w:sz w:val="32"/>
          <w:highlight w:val="white"/>
          <w:lang w:val="en-US"/>
        </w:rPr>
        <w:t>部门评价项目绩效评价</w:t>
      </w:r>
      <w:r>
        <w:rPr>
          <w:rFonts w:hint="eastAsia" w:ascii="仿宋" w:hAnsi="仿宋" w:eastAsia="仿宋"/>
          <w:color w:val="000000"/>
          <w:sz w:val="32"/>
          <w:highlight w:val="white"/>
          <w:lang w:val="en-US" w:eastAsia="zh-CN"/>
        </w:rPr>
        <w:t>，因此，无相关内容。</w:t>
      </w:r>
    </w:p>
    <w:p>
      <w:pPr>
        <w:spacing w:beforeLines="0" w:afterLines="0" w:line="324" w:lineRule="auto"/>
        <w:ind w:firstLine="642" w:firstLineChars="200"/>
        <w:rPr>
          <w:rFonts w:hint="default" w:ascii="Times New Roman" w:hAnsi="Times New Roman" w:eastAsia="Times New Roman"/>
          <w:b/>
          <w:color w:val="000000"/>
          <w:sz w:val="32"/>
          <w:highlight w:val="white"/>
          <w:lang w:val="en-US"/>
        </w:rPr>
      </w:pPr>
      <w:r>
        <w:rPr>
          <w:rFonts w:hint="eastAsia" w:ascii="黑体" w:hAnsi="黑体" w:eastAsia="黑体"/>
          <w:b/>
          <w:color w:val="000000"/>
          <w:sz w:val="32"/>
          <w:highlight w:val="white"/>
          <w:lang w:val="en-US"/>
        </w:rPr>
        <w:t>四、名词解释</w:t>
      </w:r>
    </w:p>
    <w:p>
      <w:pPr>
        <w:spacing w:beforeLines="0" w:afterLines="0" w:line="324" w:lineRule="auto"/>
        <w:ind w:firstLine="594"/>
        <w:rPr>
          <w:rFonts w:hint="eastAsia" w:ascii="仿宋" w:hAnsi="仿宋" w:eastAsia="仿宋"/>
          <w:color w:val="000000"/>
          <w:sz w:val="32"/>
          <w:highlight w:val="white"/>
          <w:lang w:val="zh-CN"/>
        </w:rPr>
      </w:pPr>
      <w:r>
        <w:rPr>
          <w:rFonts w:hint="eastAsia" w:ascii="仿宋" w:hAnsi="仿宋" w:eastAsia="仿宋"/>
          <w:color w:val="000000"/>
          <w:sz w:val="32"/>
          <w:highlight w:val="white"/>
          <w:lang w:val="zh-CN"/>
        </w:rPr>
        <w:t>1.财政拨款收入：指本级财政部门当年拨付的财政预算资金，包括一般公共预算财政拨款、政府性基金预算财政拨款和国有资本经预算财政拨款。</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eastAsia="zh-CN"/>
        </w:rPr>
        <w:t>2</w:t>
      </w:r>
      <w:r>
        <w:rPr>
          <w:rFonts w:hint="eastAsia" w:ascii="仿宋" w:hAnsi="仿宋" w:eastAsia="仿宋"/>
          <w:color w:val="000000"/>
          <w:sz w:val="32"/>
          <w:highlight w:val="white"/>
          <w:lang w:val="en-US"/>
        </w:rPr>
        <w:t>.基本支出：指预算单位为保障其正常运转，完成日常工作任务所发生的支出，包括人员经费支出和日常公用经费支出。</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eastAsia="zh-CN"/>
        </w:rPr>
        <w:t>3</w:t>
      </w:r>
      <w:r>
        <w:rPr>
          <w:rFonts w:hint="eastAsia" w:ascii="仿宋" w:hAnsi="仿宋" w:eastAsia="仿宋"/>
          <w:color w:val="000000"/>
          <w:sz w:val="32"/>
          <w:highlight w:val="white"/>
          <w:lang w:val="en-US"/>
        </w:rPr>
        <w:t>.项目支出：指预算单位为完成其特定的行政工作任务或事业发展目标所发生的支出。</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eastAsia="zh-CN"/>
        </w:rPr>
        <w:t>4</w:t>
      </w:r>
      <w:r>
        <w:rPr>
          <w:rFonts w:hint="eastAsia" w:ascii="仿宋" w:hAnsi="仿宋" w:eastAsia="仿宋"/>
          <w:color w:val="000000"/>
          <w:sz w:val="32"/>
          <w:highlight w:val="white"/>
          <w:lang w:val="en-US"/>
        </w:rPr>
        <w:t>.</w:t>
      </w:r>
      <w:r>
        <w:rPr>
          <w:rFonts w:hint="default" w:ascii="仿宋" w:hAnsi="仿宋" w:eastAsia="仿宋"/>
          <w:color w:val="000000"/>
          <w:sz w:val="32"/>
          <w:highlight w:val="white"/>
          <w:lang w:val="en-US"/>
        </w:rPr>
        <w:t>“</w:t>
      </w:r>
      <w:r>
        <w:rPr>
          <w:rFonts w:hint="eastAsia" w:ascii="仿宋" w:hAnsi="仿宋" w:eastAsia="仿宋"/>
          <w:color w:val="000000"/>
          <w:sz w:val="32"/>
          <w:highlight w:val="white"/>
          <w:lang w:val="en-US"/>
        </w:rPr>
        <w:t>三公</w:t>
      </w:r>
      <w:r>
        <w:rPr>
          <w:rFonts w:hint="default" w:ascii="仿宋" w:hAnsi="仿宋" w:eastAsia="仿宋"/>
          <w:color w:val="000000"/>
          <w:sz w:val="32"/>
          <w:highlight w:val="white"/>
          <w:lang w:val="en-US"/>
        </w:rPr>
        <w:t>”</w:t>
      </w:r>
      <w:r>
        <w:rPr>
          <w:rFonts w:hint="eastAsia" w:ascii="仿宋" w:hAnsi="仿宋" w:eastAsia="仿宋"/>
          <w:color w:val="000000"/>
          <w:sz w:val="32"/>
          <w:highlight w:val="white"/>
          <w:lang w:val="en-US"/>
        </w:rPr>
        <w:t>经费：纳入财政预决算管理的</w:t>
      </w:r>
      <w:r>
        <w:rPr>
          <w:rFonts w:hint="default" w:ascii="仿宋" w:hAnsi="仿宋" w:eastAsia="仿宋"/>
          <w:color w:val="000000"/>
          <w:sz w:val="32"/>
          <w:highlight w:val="white"/>
          <w:lang w:val="en-US"/>
        </w:rPr>
        <w:t>“</w:t>
      </w:r>
      <w:r>
        <w:rPr>
          <w:rFonts w:hint="eastAsia" w:ascii="仿宋" w:hAnsi="仿宋" w:eastAsia="仿宋"/>
          <w:color w:val="000000"/>
          <w:sz w:val="32"/>
          <w:highlight w:val="white"/>
          <w:lang w:val="en-US"/>
        </w:rPr>
        <w:t>三公</w:t>
      </w:r>
      <w:r>
        <w:rPr>
          <w:rFonts w:hint="default" w:ascii="仿宋" w:hAnsi="仿宋" w:eastAsia="仿宋"/>
          <w:color w:val="000000"/>
          <w:sz w:val="32"/>
          <w:highlight w:val="white"/>
          <w:lang w:val="en-US"/>
        </w:rPr>
        <w:t>”</w:t>
      </w:r>
      <w:r>
        <w:rPr>
          <w:rFonts w:hint="eastAsia" w:ascii="仿宋" w:hAnsi="仿宋" w:eastAsia="仿宋"/>
          <w:color w:val="000000"/>
          <w:sz w:val="32"/>
          <w:highlight w:val="white"/>
          <w:lang w:val="en-US"/>
        </w:rPr>
        <w:t>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eastAsia="zh-CN"/>
        </w:rPr>
        <w:t>5</w:t>
      </w:r>
      <w:r>
        <w:rPr>
          <w:rFonts w:hint="eastAsia" w:ascii="仿宋" w:hAnsi="仿宋" w:eastAsia="仿宋"/>
          <w:color w:val="000000"/>
          <w:sz w:val="32"/>
          <w:highlight w:val="white"/>
          <w:lang w:val="en-US"/>
        </w:rPr>
        <w:t>.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27" w:firstLineChars="19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教育支出（类）进修及培训（款）培训支出（项）：指各部门安排的用于培训的支出。教育部门的师资培训，党校、行政学院等专业干部教育机构的支出，以及退役士兵、转业士官的培训支出，不在本科目反映。</w:t>
      </w:r>
    </w:p>
    <w:p>
      <w:pPr>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7．社会保障和就业支出（类）行政事业单位养老支出（款）机关事业单位基本养老保险缴费支出（项）：指机关事业单位实施养老保险制度由单位缴纳的基本养老保险支出。</w:t>
      </w:r>
    </w:p>
    <w:p>
      <w:pPr>
        <w:ind w:firstLine="640" w:firstLineChars="200"/>
      </w:pPr>
      <w:r>
        <w:rPr>
          <w:rFonts w:hint="eastAsia" w:ascii="Times New Roman" w:hAnsi="Times New Roman" w:eastAsia="仿宋_GB2312" w:cs="Times New Roman"/>
          <w:bCs/>
          <w:color w:val="000000"/>
          <w:sz w:val="32"/>
          <w:szCs w:val="32"/>
        </w:rPr>
        <w:t>8．社会保障和就业支出（类）行政事业单位养老支出（款）机关事业单位职业年金缴费支出（项）：机关事业单位实施养老保险制度由单位缴纳的职业年金支出。</w:t>
      </w:r>
    </w:p>
    <w:p>
      <w:pPr>
        <w:spacing w:line="560" w:lineRule="exact"/>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9．社会保障和就业支出（类）行政事业单位养老支出（款）行政单位离退休（项）：主要用于单位开支的离退休经费。</w:t>
      </w:r>
    </w:p>
    <w:p>
      <w:pPr>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10．卫生健康支出（类）行政事业单位医疗（款）行政单位医疗（项）：指财政部门安排的行政单位（包括实行公务员管理的事业单位）基本医疗保险缴费经费，未参加医疗保险的行政单位的公费医疗经费，按国家规定享受离休人员、红军老战士待遇人员的医疗经费。</w:t>
      </w:r>
    </w:p>
    <w:p>
      <w:pPr>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11．农林水支出（类）林业和草原（款）行政运行（林业）（项）：指行政单位（包括实行公务员管理的事业单位）的基本支出。</w:t>
      </w:r>
    </w:p>
    <w:p>
      <w:pPr>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12．农林水支出（类）林业和草原（款）其他林业支出（项）：指除上述项目以外其他用于林业和草原的支出。</w:t>
      </w:r>
    </w:p>
    <w:p>
      <w:pPr>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13．住房保障支出（类）住房改革支出（款）住房公积金（项）：指行政事业单位按人力资源和社会保障部、财政部规定的基本工资和津贴补贴以及规定比例为职工缴纳的住房公积金。</w:t>
      </w:r>
    </w:p>
    <w:p>
      <w:pPr>
        <w:spacing w:beforeLines="0" w:afterLines="0" w:line="324" w:lineRule="auto"/>
        <w:ind w:left="5492" w:leftChars="456" w:hanging="4534" w:hangingChars="1417"/>
        <w:rPr>
          <w:rFonts w:hint="eastAsia" w:ascii="仿宋_GB2312" w:hAnsi="仿宋_GB2312" w:eastAsia="仿宋_GB2312"/>
          <w:color w:val="000000"/>
          <w:sz w:val="32"/>
          <w:highlight w:val="white"/>
          <w:lang w:val="en-US"/>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金华市林业有害生物</w:t>
      </w:r>
      <w:r>
        <w:rPr>
          <w:rFonts w:hint="eastAsia" w:ascii="Times New Roman" w:hAnsi="Times New Roman" w:eastAsia="仿宋_GB2312" w:cs="Times New Roman"/>
          <w:sz w:val="32"/>
          <w:szCs w:val="32"/>
        </w:rPr>
        <w:t>防治检疫站</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2021年</w:t>
      </w: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18</w:t>
      </w:r>
      <w:r>
        <w:rPr>
          <w:rFonts w:ascii="Times New Roman" w:hAnsi="Times New Roman" w:eastAsia="仿宋_GB2312" w:cs="Times New Roman"/>
          <w:sz w:val="32"/>
          <w:szCs w:val="32"/>
        </w:rPr>
        <w:t xml:space="preserve">日      </w:t>
      </w:r>
    </w:p>
    <w:p>
      <w:pPr>
        <w:spacing w:beforeLines="0" w:afterLines="0"/>
        <w:jc w:val="left"/>
        <w:rPr>
          <w:rFonts w:hint="eastAsia" w:ascii="宋体" w:hAnsi="宋体"/>
          <w:color w:val="auto"/>
          <w:kern w:val="0"/>
          <w:sz w:val="18"/>
          <w:lang w:val="zh-CN"/>
        </w:rPr>
      </w:pPr>
    </w:p>
    <w:p>
      <w:pPr>
        <w:spacing w:beforeLines="0" w:afterLines="0"/>
        <w:jc w:val="left"/>
        <w:rPr>
          <w:rFonts w:hint="eastAsia" w:ascii="宋体" w:hAnsi="宋体"/>
          <w:color w:val="auto"/>
          <w:kern w:val="0"/>
          <w:sz w:val="18"/>
          <w:lang w:val="zh-CN"/>
        </w:rPr>
      </w:pPr>
    </w:p>
    <w:p>
      <w:pPr>
        <w:spacing w:beforeLines="0" w:afterLines="0"/>
        <w:jc w:val="left"/>
        <w:rPr>
          <w:rFonts w:hint="eastAsia" w:ascii="黑体" w:hAnsi="黑体" w:eastAsia="黑体"/>
          <w:color w:val="auto"/>
          <w:spacing w:val="15"/>
          <w:sz w:val="44"/>
          <w:lang w:val="en-US"/>
        </w:rPr>
      </w:pPr>
    </w:p>
    <w:p>
      <w:pPr>
        <w:spacing w:beforeLines="0" w:afterLines="0"/>
        <w:jc w:val="left"/>
        <w:rPr>
          <w:rFonts w:hint="eastAsia" w:ascii="宋体" w:hAnsi="宋体"/>
          <w:color w:val="auto"/>
          <w:kern w:val="0"/>
          <w:sz w:val="18"/>
          <w:lang w:val="zh-CN"/>
        </w:rPr>
      </w:pPr>
    </w:p>
    <w:p>
      <w:pPr>
        <w:spacing w:beforeLines="0" w:afterLines="0"/>
        <w:jc w:val="left"/>
        <w:rPr>
          <w:rFonts w:hint="eastAsia" w:ascii="宋体" w:hAnsi="宋体"/>
          <w:color w:val="auto"/>
          <w:kern w:val="0"/>
          <w:sz w:val="18"/>
          <w:lang w:val="zh-CN"/>
        </w:rPr>
      </w:pPr>
    </w:p>
    <w:p>
      <w:pPr>
        <w:spacing w:beforeLines="0" w:afterLines="0"/>
        <w:jc w:val="left"/>
        <w:rPr>
          <w:rFonts w:hint="eastAsia" w:ascii="宋体" w:hAnsi="宋体"/>
          <w:color w:val="auto"/>
          <w:kern w:val="0"/>
          <w:sz w:val="18"/>
          <w:lang w:val="zh-CN"/>
        </w:rPr>
      </w:pPr>
    </w:p>
    <w:p/>
    <w:sectPr>
      <w:footerReference r:id="rId5" w:type="default"/>
      <w:pgSz w:w="12240" w:h="15840"/>
      <w:pgMar w:top="1440" w:right="1800" w:bottom="1440" w:left="1800" w:header="720" w:footer="720" w:gutter="0"/>
      <w:lnNumType w:countBy="0" w:distance="36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等线">
    <w:altName w:val="宋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500826"/>
    <w:multiLevelType w:val="singleLevel"/>
    <w:tmpl w:val="60500826"/>
    <w:lvl w:ilvl="0" w:tentative="0">
      <w:start w:val="2"/>
      <w:numFmt w:val="decimal"/>
      <w:suff w:val="space"/>
      <w:lvlText w:val="%1."/>
      <w:lvlJc w:val="left"/>
    </w:lvl>
  </w:abstractNum>
  <w:abstractNum w:abstractNumId="1">
    <w:nsid w:val="61430F2B"/>
    <w:multiLevelType w:val="singleLevel"/>
    <w:tmpl w:val="61430F2B"/>
    <w:lvl w:ilvl="0" w:tentative="0">
      <w:start w:val="7"/>
      <w:numFmt w:val="chineseCounting"/>
      <w:suff w:val="nothing"/>
      <w:lvlText w:val="（%1）"/>
      <w:lvlJc w:val="left"/>
    </w:lvl>
  </w:abstractNum>
  <w:abstractNum w:abstractNumId="2">
    <w:nsid w:val="614A92BD"/>
    <w:multiLevelType w:val="singleLevel"/>
    <w:tmpl w:val="614A92BD"/>
    <w:lvl w:ilvl="0" w:tentative="0">
      <w:start w:val="3"/>
      <w:numFmt w:val="decimal"/>
      <w:suff w:val="nothing"/>
      <w:lvlText w:val="%1."/>
      <w:lvlJc w:val="left"/>
    </w:lvl>
  </w:abstractNum>
  <w:abstractNum w:abstractNumId="3">
    <w:nsid w:val="7F680724"/>
    <w:multiLevelType w:val="multilevel"/>
    <w:tmpl w:val="7F68072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EB55FC"/>
    <w:rsid w:val="01253DB5"/>
    <w:rsid w:val="014B6550"/>
    <w:rsid w:val="019D284E"/>
    <w:rsid w:val="01A63C17"/>
    <w:rsid w:val="031D0EF4"/>
    <w:rsid w:val="03983244"/>
    <w:rsid w:val="05D17CEA"/>
    <w:rsid w:val="06422FEE"/>
    <w:rsid w:val="06CF7A34"/>
    <w:rsid w:val="07292614"/>
    <w:rsid w:val="07891314"/>
    <w:rsid w:val="08B8538D"/>
    <w:rsid w:val="08D728C8"/>
    <w:rsid w:val="08DE518B"/>
    <w:rsid w:val="08E218AC"/>
    <w:rsid w:val="08EB2A4B"/>
    <w:rsid w:val="0F526812"/>
    <w:rsid w:val="16843D2B"/>
    <w:rsid w:val="16AD67FB"/>
    <w:rsid w:val="17045AF6"/>
    <w:rsid w:val="1B284094"/>
    <w:rsid w:val="1B3D33EF"/>
    <w:rsid w:val="1B883925"/>
    <w:rsid w:val="1D0C6603"/>
    <w:rsid w:val="200E476C"/>
    <w:rsid w:val="2095267A"/>
    <w:rsid w:val="211D28FF"/>
    <w:rsid w:val="224009B6"/>
    <w:rsid w:val="25253897"/>
    <w:rsid w:val="273F5A82"/>
    <w:rsid w:val="28F8689F"/>
    <w:rsid w:val="2F892D47"/>
    <w:rsid w:val="33361DF1"/>
    <w:rsid w:val="342A5446"/>
    <w:rsid w:val="3802399B"/>
    <w:rsid w:val="383D7105"/>
    <w:rsid w:val="396A32D1"/>
    <w:rsid w:val="39AC34A5"/>
    <w:rsid w:val="3ACC7E89"/>
    <w:rsid w:val="3B0D7B3D"/>
    <w:rsid w:val="3CA867C7"/>
    <w:rsid w:val="3D6353C7"/>
    <w:rsid w:val="42412DB9"/>
    <w:rsid w:val="447B61AE"/>
    <w:rsid w:val="45490B46"/>
    <w:rsid w:val="45921534"/>
    <w:rsid w:val="46BD60D8"/>
    <w:rsid w:val="489E70E2"/>
    <w:rsid w:val="48BF47DF"/>
    <w:rsid w:val="48D70043"/>
    <w:rsid w:val="4A0940C2"/>
    <w:rsid w:val="4BC0702A"/>
    <w:rsid w:val="4CFA2456"/>
    <w:rsid w:val="4DA847A4"/>
    <w:rsid w:val="4FA26CC1"/>
    <w:rsid w:val="560E035B"/>
    <w:rsid w:val="565B79D9"/>
    <w:rsid w:val="573C227B"/>
    <w:rsid w:val="580A6CBE"/>
    <w:rsid w:val="593245F9"/>
    <w:rsid w:val="59417615"/>
    <w:rsid w:val="5AA14B13"/>
    <w:rsid w:val="5CCC124D"/>
    <w:rsid w:val="5D1E281D"/>
    <w:rsid w:val="5D332555"/>
    <w:rsid w:val="5DFC2466"/>
    <w:rsid w:val="5EA56214"/>
    <w:rsid w:val="5F5E1DBA"/>
    <w:rsid w:val="60600C69"/>
    <w:rsid w:val="61422E50"/>
    <w:rsid w:val="621F32D2"/>
    <w:rsid w:val="62A3115E"/>
    <w:rsid w:val="63165478"/>
    <w:rsid w:val="64283734"/>
    <w:rsid w:val="64F43812"/>
    <w:rsid w:val="65846248"/>
    <w:rsid w:val="65C863F5"/>
    <w:rsid w:val="68CA0789"/>
    <w:rsid w:val="695B097D"/>
    <w:rsid w:val="69F676D1"/>
    <w:rsid w:val="6B1C58CD"/>
    <w:rsid w:val="6B5873AC"/>
    <w:rsid w:val="6F4E26DF"/>
    <w:rsid w:val="71631133"/>
    <w:rsid w:val="71A07F4C"/>
    <w:rsid w:val="73600BB8"/>
    <w:rsid w:val="73715B40"/>
    <w:rsid w:val="73C97F4F"/>
    <w:rsid w:val="745872E3"/>
    <w:rsid w:val="772451A9"/>
    <w:rsid w:val="781F4F69"/>
    <w:rsid w:val="792B54FF"/>
    <w:rsid w:val="79554574"/>
    <w:rsid w:val="7A4E3CE1"/>
    <w:rsid w:val="7AAC1E53"/>
    <w:rsid w:val="7C7F5798"/>
    <w:rsid w:val="7C8114E2"/>
    <w:rsid w:val="7D4E7590"/>
    <w:rsid w:val="7E6D261C"/>
    <w:rsid w:val="AFFB9F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市国土资源局</Company>
  <Pages>1</Pages>
  <Words>0</Words>
  <Characters>0</Characters>
  <Lines>0</Lines>
  <Paragraphs>0</Paragraphs>
  <TotalTime>11</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2021-09-16T15:52:00Z</dcterms:created>
  <dc:creator>lenooo</dc:creator>
  <cp:lastModifiedBy>uos</cp:lastModifiedBy>
  <cp:lastPrinted>2021-09-24T10:32:53Z</cp:lastPrinted>
  <dcterms:modified xsi:type="dcterms:W3CDTF">2021-09-24T10:42:29Z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