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小标宋简体" w:cs="方正小标宋简体"/>
          <w:b w:val="0"/>
          <w:bCs/>
          <w:color w:val="000000"/>
          <w:spacing w:val="0"/>
          <w:sz w:val="44"/>
          <w:highlight w:val="none"/>
        </w:rPr>
      </w:pPr>
      <w:r>
        <w:rPr>
          <w:rFonts w:hint="eastAsia" w:ascii="Times New Roman" w:hAnsi="Times New Roman" w:eastAsia="方正小标宋简体" w:cs="方正小标宋简体"/>
          <w:b w:val="0"/>
          <w:bCs/>
          <w:spacing w:val="0"/>
          <w:sz w:val="44"/>
          <w:highlight w:val="none"/>
          <w:lang w:eastAsia="zh-CN"/>
        </w:rPr>
        <w:t>金华市林业技术推广站</w:t>
      </w:r>
      <w:r>
        <w:rPr>
          <w:rFonts w:hint="eastAsia" w:ascii="Times New Roman" w:hAnsi="Times New Roman" w:eastAsia="方正小标宋简体" w:cs="方正小标宋简体"/>
          <w:b w:val="0"/>
          <w:bCs/>
          <w:color w:val="000000"/>
          <w:spacing w:val="0"/>
          <w:sz w:val="44"/>
          <w:highlight w:val="none"/>
        </w:rPr>
        <w:t>2020年度单位决算</w:t>
      </w:r>
    </w:p>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小标宋简体" w:cs="方正小标宋简体"/>
          <w:b w:val="0"/>
          <w:bCs/>
          <w:color w:val="000000"/>
          <w:spacing w:val="0"/>
          <w:sz w:val="44"/>
          <w:highlight w:val="none"/>
        </w:rPr>
      </w:pPr>
      <w:r>
        <w:rPr>
          <w:rFonts w:hint="eastAsia" w:ascii="Times New Roman" w:hAnsi="Times New Roman" w:eastAsia="方正小标宋简体" w:cs="方正小标宋简体"/>
          <w:b w:val="0"/>
          <w:bCs/>
          <w:color w:val="000000"/>
          <w:spacing w:val="0"/>
          <w:sz w:val="44"/>
          <w:highlight w:val="none"/>
        </w:rPr>
        <w:t>目录</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sz w:val="22"/>
        </w:rPr>
        <w:t xml:space="preserve">( </w:t>
      </w:r>
      <w:r>
        <w:rPr>
          <w:rFonts w:hint="eastAsia" w:ascii="等线" w:hAnsi="等线" w:eastAsia="等线"/>
          <w:sz w:val="22"/>
          <w:lang w:val="en-US" w:eastAsia="zh-CN"/>
        </w:rPr>
        <w:t>1-12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sz w:val="22"/>
        </w:rPr>
        <w:t xml:space="preserve">( </w:t>
      </w:r>
      <w:r>
        <w:rPr>
          <w:rFonts w:hint="eastAsia" w:ascii="等线" w:hAnsi="等线" w:eastAsia="等线"/>
          <w:sz w:val="22"/>
          <w:lang w:val="en-US" w:eastAsia="zh-CN"/>
        </w:rPr>
        <w:t>2-5</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sz w:val="22"/>
          <w:lang w:val="en-US" w:eastAsia="zh-CN"/>
        </w:rPr>
        <w:t>....</w:t>
      </w:r>
      <w:r>
        <w:rPr>
          <w:rFonts w:hint="eastAsia" w:ascii="等线" w:hAnsi="等线" w:eastAsia="等线"/>
          <w:sz w:val="22"/>
        </w:rPr>
        <w:t xml:space="preserve">( </w:t>
      </w:r>
      <w:r>
        <w:rPr>
          <w:rFonts w:hint="eastAsia" w:ascii="等线" w:hAnsi="等线" w:eastAsia="等线"/>
          <w:sz w:val="22"/>
          <w:lang w:val="en-US" w:eastAsia="zh-CN"/>
        </w:rPr>
        <w:t>5</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sz w:val="22"/>
        </w:rPr>
        <w:t xml:space="preserve">( </w:t>
      </w:r>
      <w:r>
        <w:rPr>
          <w:rFonts w:hint="eastAsia" w:ascii="等线" w:hAnsi="等线" w:eastAsia="等线"/>
          <w:sz w:val="22"/>
          <w:lang w:val="en-US" w:eastAsia="zh-CN"/>
        </w:rPr>
        <w:t>7-10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sz w:val="22"/>
        </w:rPr>
        <w:t xml:space="preserve">( </w:t>
      </w:r>
      <w:r>
        <w:rPr>
          <w:rFonts w:hint="eastAsia" w:ascii="等线" w:hAnsi="等线" w:eastAsia="等线"/>
          <w:sz w:val="22"/>
          <w:lang w:val="en-US" w:eastAsia="zh-CN"/>
        </w:rPr>
        <w:t>11-14</w:t>
      </w:r>
      <w:r>
        <w:rPr>
          <w:rFonts w:hint="eastAsia" w:ascii="等线" w:hAnsi="等线" w:eastAsia="等线"/>
          <w:sz w:val="22"/>
        </w:rPr>
        <w:t xml:space="preserve"> )</w:t>
      </w:r>
    </w:p>
    <w:p>
      <w:pPr>
        <w:spacing w:beforeLines="0" w:afterLines="0" w:line="560" w:lineRule="exact"/>
        <w:jc w:val="left"/>
        <w:rPr>
          <w:rFonts w:hint="eastAsia" w:ascii="黑体" w:hAnsi="黑体" w:eastAsia="黑体"/>
          <w:b/>
          <w:color w:val="000000"/>
          <w:sz w:val="32"/>
          <w:highlight w:val="white"/>
          <w:lang w:val="en-US"/>
        </w:rPr>
      </w:pPr>
      <w:r>
        <w:rPr>
          <w:rFonts w:hint="eastAsia" w:ascii="等线" w:hAnsi="等线" w:eastAsia="等线"/>
          <w:color w:val="000000"/>
          <w:sz w:val="22"/>
          <w:highlight w:val="white"/>
        </w:rPr>
        <w:t>四、名词解释...........................................................</w:t>
      </w:r>
      <w:r>
        <w:rPr>
          <w:rFonts w:hint="eastAsia" w:ascii="等线" w:hAnsi="等线" w:eastAsia="等线"/>
          <w:sz w:val="22"/>
        </w:rPr>
        <w:t xml:space="preserve">( </w:t>
      </w:r>
      <w:r>
        <w:rPr>
          <w:rFonts w:hint="eastAsia" w:ascii="等线" w:hAnsi="等线" w:eastAsia="等线"/>
          <w:sz w:val="22"/>
          <w:lang w:val="en-US" w:eastAsia="zh-CN"/>
        </w:rPr>
        <w:t>14-16</w:t>
      </w:r>
      <w:r>
        <w:rPr>
          <w:rFonts w:hint="eastAsia" w:ascii="等线" w:hAnsi="等线" w:eastAsia="等线"/>
          <w:sz w:val="22"/>
        </w:rPr>
        <w:t xml:space="preserve"> )</w:t>
      </w:r>
    </w:p>
    <w:p>
      <w:pPr>
        <w:spacing w:beforeLines="0" w:afterLines="0" w:line="324" w:lineRule="auto"/>
        <w:ind w:firstLine="960" w:firstLineChars="300"/>
        <w:rPr>
          <w:rFonts w:hint="eastAsia" w:ascii="黑体" w:hAnsi="黑体" w:eastAsia="黑体"/>
          <w:b/>
          <w:color w:val="000000"/>
          <w:sz w:val="32"/>
          <w:highlight w:val="white"/>
          <w:lang w:val="en-US"/>
        </w:rPr>
        <w:sectPr>
          <w:pgSz w:w="12240" w:h="15840"/>
          <w:pgMar w:top="1440" w:right="1800" w:bottom="1440" w:left="1800" w:header="720" w:footer="720" w:gutter="0"/>
          <w:lnNumType w:countBy="0" w:distance="360"/>
          <w:cols w:space="720" w:num="1"/>
          <w:docGrid w:type="lines" w:linePitch="312" w:charSpace="0"/>
        </w:sectPr>
      </w:pPr>
    </w:p>
    <w:p>
      <w:pPr>
        <w:spacing w:beforeLines="0" w:afterLines="0" w:line="324" w:lineRule="auto"/>
        <w:ind w:firstLine="640" w:firstLineChars="200"/>
        <w:rPr>
          <w:rFonts w:hint="eastAsia" w:ascii="Times New Roman" w:hAnsi="Times New Roman" w:eastAsia="黑体"/>
          <w:b/>
          <w:color w:val="000000"/>
          <w:sz w:val="32"/>
          <w:highlight w:val="white"/>
          <w:lang w:val="en-US"/>
        </w:rPr>
      </w:pPr>
      <w:r>
        <w:rPr>
          <w:rFonts w:hint="eastAsia" w:ascii="Times New Roman" w:hAnsi="Times New Roman" w:eastAsia="黑体"/>
          <w:b/>
          <w:color w:val="000000"/>
          <w:sz w:val="32"/>
          <w:highlight w:val="white"/>
          <w:lang w:val="en-US"/>
        </w:rPr>
        <w:t>一、概况</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bookmarkStart w:id="0" w:name="_GoBack"/>
      <w:bookmarkEnd w:id="0"/>
      <w:r>
        <w:rPr>
          <w:rFonts w:hint="eastAsia" w:ascii="Times New Roman" w:hAnsi="Times New Roman" w:eastAsia="楷体_GB2312" w:cs="楷体_GB2312"/>
          <w:b w:val="0"/>
          <w:bCs/>
          <w:color w:val="000000"/>
          <w:spacing w:val="0"/>
          <w:sz w:val="32"/>
          <w:highlight w:val="none"/>
          <w:lang w:val="en-US"/>
        </w:rPr>
        <w:t>（一）单位职责</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1、指导全市林业科技推广体系建设。参与拟定全市林业中长期发展规划、林业科技创新与技术推广中长期计划。</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960" w:firstLineChars="300"/>
        <w:textAlignment w:val="auto"/>
        <w:rPr>
          <w:rFonts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承担全市林业和草原科技标化、质量检验、监测等辅助工作。承担食用林产品质量监测、监督管理的辅助工作。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960" w:firstLineChars="300"/>
        <w:textAlignment w:val="auto"/>
        <w:rPr>
          <w:rFonts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承担林业科技新成果、新技术的收集、筛选和推广示范工作。实施林业科技推广、新技术新品种引进等成果转化项目。组织开展林业技术交流合作。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960" w:firstLineChars="300"/>
        <w:textAlignment w:val="auto"/>
        <w:rPr>
          <w:rFonts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承担林业送科技下乡和科普宣传工作，承担指导全民义务植树、城乡绿化的辅助工作。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960" w:firstLineChars="300"/>
        <w:textAlignment w:val="auto"/>
        <w:rPr>
          <w:rFonts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承担指导全民义务植树、城乡绿化的辅助工作。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960" w:firstLineChars="300"/>
        <w:textAlignment w:val="auto"/>
        <w:rPr>
          <w:rFonts w:hint="eastAsia" w:ascii="Times New Roman" w:hAnsi="Times New Roman" w:eastAsia="仿宋_GB2312" w:cs="Times New Roman"/>
          <w:bCs/>
          <w:color w:val="000000"/>
          <w:spacing w:val="0"/>
          <w:sz w:val="32"/>
          <w:szCs w:val="32"/>
          <w:highlight w:val="none"/>
        </w:rPr>
      </w:pPr>
      <w:r>
        <w:rPr>
          <w:rFonts w:hint="eastAsia" w:ascii="Times New Roman" w:hAnsi="Times New Roman" w:eastAsia="仿宋_GB2312" w:cs="Times New Roman"/>
          <w:bCs/>
          <w:color w:val="000000"/>
          <w:spacing w:val="0"/>
          <w:sz w:val="32"/>
          <w:szCs w:val="32"/>
          <w:highlight w:val="none"/>
        </w:rPr>
        <w:t>完成金华市自然资源和规划局交办的其他任务。</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default"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（二）机构设置</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从预算单位构成看，金华市林业</w:t>
      </w:r>
      <w:r>
        <w:rPr>
          <w:rFonts w:hint="eastAsia" w:ascii="Times New Roman" w:hAnsi="Times New Roman" w:eastAsia="仿宋_GB2312" w:cs="Times New Roman"/>
          <w:bCs/>
          <w:color w:val="000000"/>
          <w:sz w:val="32"/>
          <w:szCs w:val="32"/>
          <w:lang w:eastAsia="zh-CN"/>
        </w:rPr>
        <w:t>技术推广站决算</w:t>
      </w:r>
      <w:r>
        <w:rPr>
          <w:rFonts w:ascii="Times New Roman" w:hAnsi="Times New Roman" w:eastAsia="仿宋_GB2312" w:cs="Times New Roman"/>
          <w:bCs/>
          <w:color w:val="000000"/>
          <w:sz w:val="32"/>
          <w:szCs w:val="32"/>
        </w:rPr>
        <w:t>包括</w:t>
      </w:r>
      <w:r>
        <w:rPr>
          <w:rFonts w:hint="eastAsia" w:ascii="Times New Roman" w:hAnsi="Times New Roman" w:eastAsia="仿宋_GB2312" w:cs="Times New Roman"/>
          <w:bCs/>
          <w:color w:val="000000"/>
          <w:sz w:val="32"/>
          <w:szCs w:val="32"/>
        </w:rPr>
        <w:t>本</w:t>
      </w:r>
      <w:r>
        <w:rPr>
          <w:rFonts w:ascii="Times New Roman" w:hAnsi="Times New Roman" w:eastAsia="仿宋_GB2312" w:cs="Times New Roman"/>
          <w:bCs/>
          <w:color w:val="000000"/>
          <w:sz w:val="32"/>
          <w:szCs w:val="32"/>
        </w:rPr>
        <w:t>单位</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
          <w:color w:val="000000" w:themeColor="text1"/>
          <w:sz w:val="32"/>
          <w:highlight w:val="white"/>
          <w:lang w:val="en-US"/>
          <w14:textFill>
            <w14:solidFill>
              <w14:schemeClr w14:val="tx1"/>
            </w14:solidFill>
          </w14:textFill>
        </w:rPr>
        <w:t>从预算单位构成看，本单位</w:t>
      </w:r>
      <w:r>
        <w:rPr>
          <w:rFonts w:hint="eastAsia" w:ascii="Times New Roman" w:hAnsi="Times New Roman" w:eastAsia="仿宋"/>
          <w:color w:val="000000" w:themeColor="text1"/>
          <w:sz w:val="32"/>
          <w:highlight w:val="white"/>
          <w:lang w:val="en-US" w:eastAsia="zh-CN"/>
          <w14:textFill>
            <w14:solidFill>
              <w14:schemeClr w14:val="tx1"/>
            </w14:solidFill>
          </w14:textFill>
        </w:rPr>
        <w:t>无</w:t>
      </w:r>
      <w:r>
        <w:rPr>
          <w:rFonts w:hint="eastAsia" w:ascii="Times New Roman" w:hAnsi="Times New Roman" w:eastAsia="仿宋"/>
          <w:color w:val="000000" w:themeColor="text1"/>
          <w:sz w:val="32"/>
          <w:highlight w:val="white"/>
          <w:lang w:val="en-US"/>
          <w14:textFill>
            <w14:solidFill>
              <w14:schemeClr w14:val="tx1"/>
            </w14:solidFill>
          </w14:textFill>
        </w:rPr>
        <w:t>内设</w:t>
      </w:r>
      <w:r>
        <w:rPr>
          <w:rFonts w:hint="eastAsia" w:ascii="Times New Roman" w:hAnsi="Times New Roman" w:eastAsia="仿宋"/>
          <w:color w:val="000000" w:themeColor="text1"/>
          <w:sz w:val="32"/>
          <w:highlight w:val="white"/>
          <w:lang w:val="en-US" w:eastAsia="zh-CN"/>
          <w14:textFill>
            <w14:solidFill>
              <w14:schemeClr w14:val="tx1"/>
            </w14:solidFill>
          </w14:textFill>
        </w:rPr>
        <w:t>机构。</w:t>
      </w:r>
    </w:p>
    <w:p>
      <w:pPr>
        <w:keepNext w:val="0"/>
        <w:keepLines w:val="0"/>
        <w:pageBreakBefore w:val="0"/>
        <w:widowControl/>
        <w:kinsoku/>
        <w:wordWrap/>
        <w:overflowPunct/>
        <w:topLinePunct w:val="0"/>
        <w:autoSpaceDE/>
        <w:autoSpaceDN/>
        <w:bidi w:val="0"/>
        <w:adjustRightInd/>
        <w:snapToGrid/>
        <w:spacing w:line="560" w:lineRule="exact"/>
        <w:ind w:firstLine="600"/>
        <w:textAlignment w:val="auto"/>
        <w:rPr>
          <w:rFonts w:hint="eastAsia" w:ascii="Times New Roman" w:hAnsi="Times New Roman" w:eastAsia="黑体"/>
          <w:b w:val="0"/>
          <w:bCs/>
          <w:color w:val="000000"/>
          <w:spacing w:val="0"/>
          <w:sz w:val="32"/>
          <w:highlight w:val="none"/>
          <w:lang w:val="en-US"/>
        </w:rPr>
      </w:pPr>
      <w:r>
        <w:rPr>
          <w:rFonts w:hint="eastAsia" w:ascii="Times New Roman" w:hAnsi="Times New Roman" w:eastAsia="黑体"/>
          <w:b w:val="0"/>
          <w:bCs/>
          <w:color w:val="000000"/>
          <w:spacing w:val="0"/>
          <w:sz w:val="32"/>
          <w:highlight w:val="none"/>
          <w:lang w:val="en-US"/>
        </w:rPr>
        <w:t>二、2020年度部门（单位）决算公开表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000000"/>
          <w:spacing w:val="0"/>
          <w:sz w:val="32"/>
          <w:szCs w:val="32"/>
          <w:highlight w:val="none"/>
          <w:lang w:val="en-US"/>
        </w:rPr>
      </w:pPr>
      <w:r>
        <w:rPr>
          <w:rFonts w:hint="eastAsia" w:ascii="Times New Roman" w:hAnsi="Times New Roman" w:eastAsia="仿宋_GB2312" w:cs="Times New Roman"/>
          <w:bCs/>
          <w:color w:val="000000"/>
          <w:spacing w:val="0"/>
          <w:sz w:val="32"/>
          <w:szCs w:val="32"/>
          <w:highlight w:val="none"/>
          <w:lang w:val="en-US"/>
        </w:rPr>
        <w:t>详见附表。</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default" w:ascii="Times New Roman" w:hAnsi="Times New Roman" w:eastAsia="Times New Roman"/>
          <w:b w:val="0"/>
          <w:bCs/>
          <w:color w:val="000000"/>
          <w:spacing w:val="0"/>
          <w:sz w:val="32"/>
          <w:highlight w:val="none"/>
          <w:lang w:val="en-US"/>
        </w:rPr>
      </w:pPr>
      <w:r>
        <w:rPr>
          <w:rFonts w:hint="eastAsia" w:ascii="Times New Roman" w:hAnsi="Times New Roman" w:eastAsia="黑体"/>
          <w:b w:val="0"/>
          <w:bCs/>
          <w:color w:val="auto"/>
          <w:spacing w:val="0"/>
          <w:sz w:val="32"/>
          <w:highlight w:val="none"/>
          <w:lang w:val="zh-CN"/>
        </w:rPr>
        <w:t>三、</w:t>
      </w:r>
      <w:r>
        <w:rPr>
          <w:rFonts w:hint="eastAsia" w:ascii="Times New Roman" w:hAnsi="Times New Roman" w:eastAsia="黑体"/>
          <w:b w:val="0"/>
          <w:bCs/>
          <w:color w:val="000000"/>
          <w:spacing w:val="0"/>
          <w:sz w:val="32"/>
          <w:highlight w:val="none"/>
          <w:lang w:val="en-US"/>
        </w:rPr>
        <w:t>2020年度部门（单位）决算情况说明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lang w:val="en-US"/>
        </w:rPr>
        <w:t>2020年度收入总计271.68万元，支出总计271.68万元,与2019年度相比，各减少</w:t>
      </w:r>
      <w:r>
        <w:rPr>
          <w:rFonts w:hint="eastAsia" w:ascii="Times New Roman" w:hAnsi="Times New Roman" w:eastAsia="仿宋_GB2312" w:cs="仿宋_GB2312"/>
          <w:bCs/>
          <w:color w:val="000000"/>
          <w:spacing w:val="0"/>
          <w:sz w:val="32"/>
          <w:szCs w:val="32"/>
          <w:highlight w:val="none"/>
          <w:lang w:val="en-US" w:eastAsia="zh-CN"/>
        </w:rPr>
        <w:t>38.53</w:t>
      </w:r>
      <w:r>
        <w:rPr>
          <w:rFonts w:hint="eastAsia" w:ascii="Times New Roman" w:hAnsi="Times New Roman" w:eastAsia="仿宋_GB2312" w:cs="仿宋_GB2312"/>
          <w:bCs/>
          <w:color w:val="000000"/>
          <w:spacing w:val="0"/>
          <w:sz w:val="32"/>
          <w:szCs w:val="32"/>
          <w:highlight w:val="none"/>
          <w:lang w:val="en-US"/>
        </w:rPr>
        <w:t>万元，下降</w:t>
      </w:r>
      <w:r>
        <w:rPr>
          <w:rFonts w:hint="eastAsia" w:ascii="Times New Roman" w:hAnsi="Times New Roman" w:eastAsia="仿宋_GB2312" w:cs="仿宋_GB2312"/>
          <w:bCs/>
          <w:color w:val="000000"/>
          <w:spacing w:val="0"/>
          <w:sz w:val="32"/>
          <w:szCs w:val="32"/>
          <w:highlight w:val="none"/>
          <w:lang w:val="en-US" w:eastAsia="zh-CN"/>
        </w:rPr>
        <w:t>12.42</w:t>
      </w:r>
      <w:r>
        <w:rPr>
          <w:rFonts w:hint="eastAsia" w:ascii="Times New Roman" w:hAnsi="Times New Roman" w:eastAsia="仿宋_GB2312" w:cs="仿宋_GB2312"/>
          <w:bCs/>
          <w:color w:val="000000"/>
          <w:spacing w:val="0"/>
          <w:sz w:val="32"/>
          <w:szCs w:val="32"/>
          <w:highlight w:val="none"/>
          <w:lang w:val="en-US"/>
        </w:rPr>
        <w:t>%。主要原</w:t>
      </w:r>
      <w:r>
        <w:rPr>
          <w:rFonts w:hint="eastAsia" w:ascii="Times New Roman" w:hAnsi="Times New Roman" w:eastAsia="仿宋_GB2312" w:cs="仿宋_GB2312"/>
          <w:color w:val="000000"/>
          <w:spacing w:val="0"/>
          <w:sz w:val="32"/>
          <w:highlight w:val="none"/>
          <w:lang w:val="en-US"/>
        </w:rPr>
        <w:t>因是</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项目支出减少</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val="0"/>
          <w:bCs w:val="0"/>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本年收入合计228.03万元；包括财政拨款收入228.03万元（其中，一般公共预算228.03万元，政府性基金预算0万元,国有资本经营预算0万元），占收入合计100%；上级补助收入0万元，占收入合计0%；事业收入0万元，占收入合计0%；经营收入0万元，占收入合计0%；附属单位上缴收入0万元，占收</w:t>
      </w:r>
      <w:r>
        <w:rPr>
          <w:rFonts w:hint="eastAsia" w:ascii="Times New Roman" w:hAnsi="Times New Roman" w:eastAsia="仿宋_GB2312" w:cs="仿宋_GB2312"/>
          <w:b w:val="0"/>
          <w:bCs w:val="0"/>
          <w:color w:val="000000"/>
          <w:spacing w:val="0"/>
          <w:sz w:val="32"/>
          <w:highlight w:val="none"/>
          <w:lang w:val="en-US"/>
        </w:rPr>
        <w:t>入合计0%；其他收入0万元，占收入合计0%。</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val="0"/>
          <w:color w:val="000000"/>
          <w:spacing w:val="0"/>
          <w:sz w:val="32"/>
          <w:highlight w:val="none"/>
          <w:lang w:val="en-US"/>
        </w:rPr>
      </w:pPr>
      <w:r>
        <w:rPr>
          <w:rFonts w:hint="eastAsia" w:ascii="Times New Roman" w:hAnsi="Times New Roman" w:eastAsia="楷体_GB2312" w:cs="楷体_GB2312"/>
          <w:b w:val="0"/>
          <w:bCs w:val="0"/>
          <w:color w:val="000000"/>
          <w:spacing w:val="0"/>
          <w:sz w:val="32"/>
          <w:highlight w:val="none"/>
          <w:lang w:val="en-US"/>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rPr>
        <w:t>本年支出合计271.68万元，其中基本支出163.7</w:t>
      </w:r>
      <w:r>
        <w:rPr>
          <w:rFonts w:hint="eastAsia" w:ascii="Times New Roman" w:hAnsi="Times New Roman" w:eastAsia="仿宋_GB2312" w:cs="仿宋_GB2312"/>
          <w:color w:val="000000"/>
          <w:spacing w:val="0"/>
          <w:sz w:val="32"/>
          <w:szCs w:val="32"/>
          <w:highlight w:val="none"/>
          <w:lang w:val="en-US" w:eastAsia="zh-CN"/>
        </w:rPr>
        <w:t>4</w:t>
      </w:r>
      <w:r>
        <w:rPr>
          <w:rFonts w:hint="eastAsia" w:ascii="Times New Roman" w:hAnsi="Times New Roman" w:eastAsia="仿宋_GB2312" w:cs="仿宋_GB2312"/>
          <w:color w:val="000000"/>
          <w:spacing w:val="0"/>
          <w:sz w:val="32"/>
          <w:szCs w:val="32"/>
          <w:highlight w:val="none"/>
          <w:lang w:val="en-US"/>
        </w:rPr>
        <w:t>万元，占60.27%；项目支出107.94万元，占39.73%；上缴上级支出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万元，占0%；经营支出0万元，占0%；对附属单位补助支出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万元，占0%。</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2020年度财政拨款收入总计</w:t>
      </w:r>
      <w:r>
        <w:rPr>
          <w:rFonts w:hint="eastAsia" w:ascii="Times New Roman" w:hAnsi="Times New Roman" w:eastAsia="仿宋_GB2312" w:cs="仿宋_GB2312"/>
          <w:color w:val="000000"/>
          <w:spacing w:val="0"/>
          <w:sz w:val="32"/>
          <w:highlight w:val="none"/>
          <w:lang w:val="en-US" w:eastAsia="zh-CN"/>
        </w:rPr>
        <w:t>271.68</w:t>
      </w:r>
      <w:r>
        <w:rPr>
          <w:rFonts w:hint="eastAsia" w:ascii="Times New Roman" w:hAnsi="Times New Roman" w:eastAsia="仿宋_GB2312" w:cs="仿宋_GB2312"/>
          <w:color w:val="000000"/>
          <w:spacing w:val="0"/>
          <w:sz w:val="32"/>
          <w:highlight w:val="none"/>
          <w:lang w:val="en-US"/>
        </w:rPr>
        <w:t>万元，支出总计271.68万元，与2019年相比，各减少</w:t>
      </w:r>
      <w:r>
        <w:rPr>
          <w:rFonts w:hint="eastAsia" w:ascii="Times New Roman" w:hAnsi="Times New Roman" w:eastAsia="仿宋_GB2312" w:cs="仿宋_GB2312"/>
          <w:color w:val="000000"/>
          <w:spacing w:val="0"/>
          <w:sz w:val="32"/>
          <w:highlight w:val="none"/>
          <w:lang w:val="en-US" w:eastAsia="zh-CN"/>
        </w:rPr>
        <w:t>37.09</w:t>
      </w:r>
      <w:r>
        <w:rPr>
          <w:rFonts w:hint="eastAsia" w:ascii="Times New Roman" w:hAnsi="Times New Roman" w:eastAsia="仿宋_GB2312" w:cs="仿宋_GB2312"/>
          <w:color w:val="000000"/>
          <w:spacing w:val="0"/>
          <w:sz w:val="32"/>
          <w:highlight w:val="none"/>
          <w:lang w:val="en-US"/>
        </w:rPr>
        <w:t>万元，下降</w:t>
      </w:r>
      <w:r>
        <w:rPr>
          <w:rFonts w:hint="eastAsia" w:ascii="Times New Roman" w:hAnsi="Times New Roman" w:eastAsia="仿宋_GB2312" w:cs="仿宋_GB2312"/>
          <w:color w:val="000000"/>
          <w:spacing w:val="0"/>
          <w:sz w:val="32"/>
          <w:highlight w:val="none"/>
          <w:lang w:val="en-US" w:eastAsia="zh-CN"/>
        </w:rPr>
        <w:t>12.01</w:t>
      </w:r>
      <w:r>
        <w:rPr>
          <w:rFonts w:hint="eastAsia" w:ascii="Times New Roman" w:hAnsi="Times New Roman" w:eastAsia="仿宋_GB2312" w:cs="仿宋_GB2312"/>
          <w:color w:val="000000"/>
          <w:spacing w:val="0"/>
          <w:sz w:val="32"/>
          <w:highlight w:val="none"/>
          <w:lang w:val="en-US"/>
        </w:rPr>
        <w:t>%。主要原因是</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项目支出减少</w:t>
      </w:r>
      <w:r>
        <w:rPr>
          <w:rFonts w:hint="eastAsia" w:ascii="Times New Roman" w:hAnsi="Times New Roman" w:eastAsia="仿宋_GB2312" w:cs="仿宋_GB2312"/>
          <w:color w:val="auto"/>
          <w:spacing w:val="0"/>
          <w:sz w:val="32"/>
          <w:highlight w:val="none"/>
          <w:lang w:val="en-US"/>
        </w:rPr>
        <w:t>；</w:t>
      </w:r>
      <w:r>
        <w:rPr>
          <w:rFonts w:hint="eastAsia" w:ascii="Times New Roman" w:hAnsi="Times New Roman" w:eastAsia="仿宋_GB2312" w:cs="仿宋_GB2312"/>
          <w:color w:val="000000"/>
          <w:spacing w:val="0"/>
          <w:sz w:val="32"/>
          <w:highlight w:val="none"/>
          <w:lang w:val="en-US"/>
        </w:rPr>
        <w:t>财政拨款支出年初预算数</w:t>
      </w:r>
      <w:r>
        <w:rPr>
          <w:rFonts w:hint="eastAsia" w:ascii="Times New Roman" w:hAnsi="Times New Roman" w:eastAsia="仿宋_GB2312" w:cs="仿宋_GB2312"/>
          <w:color w:val="000000"/>
          <w:spacing w:val="0"/>
          <w:sz w:val="32"/>
          <w:highlight w:val="none"/>
          <w:lang w:val="en-US" w:eastAsia="zh-CN"/>
        </w:rPr>
        <w:t>217.75</w:t>
      </w:r>
      <w:r>
        <w:rPr>
          <w:rFonts w:hint="eastAsia" w:ascii="Times New Roman" w:hAnsi="Times New Roman" w:eastAsia="仿宋_GB2312" w:cs="仿宋_GB2312"/>
          <w:color w:val="000000"/>
          <w:spacing w:val="0"/>
          <w:sz w:val="32"/>
          <w:highlight w:val="none"/>
          <w:lang w:val="en-US"/>
        </w:rPr>
        <w:t>万元，</w:t>
      </w:r>
      <w:r>
        <w:rPr>
          <w:rFonts w:hint="eastAsia" w:ascii="Times New Roman" w:hAnsi="Times New Roman" w:eastAsia="仿宋_GB2312" w:cs="仿宋_GB2312"/>
          <w:color w:val="auto"/>
          <w:spacing w:val="0"/>
          <w:sz w:val="32"/>
          <w:highlight w:val="none"/>
          <w:lang w:val="en-US"/>
        </w:rPr>
        <w:t>完成年初预算的</w:t>
      </w:r>
      <w:r>
        <w:rPr>
          <w:rFonts w:hint="eastAsia" w:ascii="Times New Roman" w:hAnsi="Times New Roman" w:eastAsia="仿宋_GB2312" w:cs="仿宋_GB2312"/>
          <w:color w:val="000000"/>
          <w:spacing w:val="0"/>
          <w:sz w:val="32"/>
          <w:highlight w:val="none"/>
          <w:lang w:val="en-US" w:eastAsia="zh-CN"/>
        </w:rPr>
        <w:t>124.77</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auto"/>
          <w:spacing w:val="0"/>
          <w:sz w:val="32"/>
          <w:highlight w:val="none"/>
          <w:lang w:val="en-US"/>
        </w:rPr>
        <w:t>，</w:t>
      </w:r>
      <w:r>
        <w:rPr>
          <w:rFonts w:hint="eastAsia" w:ascii="Times New Roman" w:hAnsi="Times New Roman" w:eastAsia="仿宋_GB2312" w:cs="仿宋_GB2312"/>
          <w:color w:val="000000"/>
          <w:spacing w:val="0"/>
          <w:sz w:val="32"/>
          <w:highlight w:val="none"/>
          <w:lang w:val="en-US"/>
        </w:rPr>
        <w:t>主要原因是</w:t>
      </w:r>
      <w:r>
        <w:rPr>
          <w:rFonts w:hint="eastAsia" w:ascii="Times New Roman" w:hAnsi="Times New Roman" w:eastAsia="仿宋_GB2312" w:cs="仿宋_GB2312"/>
          <w:color w:val="000000"/>
          <w:spacing w:val="0"/>
          <w:sz w:val="32"/>
          <w:highlight w:val="none"/>
          <w:lang w:val="en-US" w:eastAsia="zh-CN"/>
        </w:rPr>
        <w:t>年中追加项目经费</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06"/>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1.一般公共预算财政拨款支出决算总体情况</w:t>
      </w:r>
    </w:p>
    <w:p>
      <w:pPr>
        <w:keepNext w:val="0"/>
        <w:keepLines w:val="0"/>
        <w:pageBreakBefore w:val="0"/>
        <w:widowControl/>
        <w:kinsoku/>
        <w:wordWrap/>
        <w:overflowPunct/>
        <w:topLinePunct w:val="0"/>
        <w:autoSpaceDE/>
        <w:autoSpaceDN/>
        <w:bidi w:val="0"/>
        <w:adjustRightInd/>
        <w:snapToGrid/>
        <w:spacing w:line="560" w:lineRule="exact"/>
        <w:ind w:firstLine="606"/>
        <w:textAlignment w:val="auto"/>
        <w:rPr>
          <w:rFonts w:hint="eastAsia" w:ascii="Times New Roman" w:hAnsi="Times New Roman" w:eastAsia="仿宋_GB2312" w:cs="仿宋_GB2312"/>
          <w:color w:val="FF0000"/>
          <w:spacing w:val="0"/>
          <w:sz w:val="32"/>
          <w:highlight w:val="none"/>
          <w:lang w:val="en-US" w:eastAsia="zh-CN"/>
        </w:rPr>
      </w:pPr>
      <w:r>
        <w:rPr>
          <w:rFonts w:hint="eastAsia" w:ascii="Times New Roman" w:hAnsi="Times New Roman" w:eastAsia="仿宋_GB2312" w:cs="仿宋_GB2312"/>
          <w:color w:val="000000"/>
          <w:spacing w:val="0"/>
          <w:sz w:val="32"/>
          <w:highlight w:val="none"/>
          <w:lang w:val="en-US"/>
        </w:rPr>
        <w:t>2020年度一般公共预算财政拨款支出271.68万元，占本年支出合计的100%。与2019年相比，一般公共预算财政拨款支出减少</w:t>
      </w:r>
      <w:r>
        <w:rPr>
          <w:rFonts w:hint="eastAsia" w:ascii="Times New Roman" w:hAnsi="Times New Roman" w:eastAsia="仿宋_GB2312" w:cs="仿宋_GB2312"/>
          <w:color w:val="000000"/>
          <w:spacing w:val="0"/>
          <w:sz w:val="32"/>
          <w:highlight w:val="none"/>
          <w:lang w:val="en-US" w:eastAsia="zh-CN"/>
        </w:rPr>
        <w:t>37.09</w:t>
      </w:r>
      <w:r>
        <w:rPr>
          <w:rFonts w:hint="eastAsia" w:ascii="Times New Roman" w:hAnsi="Times New Roman" w:eastAsia="仿宋_GB2312" w:cs="仿宋_GB2312"/>
          <w:color w:val="000000"/>
          <w:spacing w:val="0"/>
          <w:sz w:val="32"/>
          <w:highlight w:val="none"/>
          <w:lang w:val="en-US"/>
        </w:rPr>
        <w:t>万元，下降</w:t>
      </w:r>
      <w:r>
        <w:rPr>
          <w:rFonts w:hint="eastAsia" w:ascii="Times New Roman" w:hAnsi="Times New Roman" w:eastAsia="仿宋_GB2312" w:cs="仿宋_GB2312"/>
          <w:color w:val="000000"/>
          <w:spacing w:val="0"/>
          <w:sz w:val="32"/>
          <w:highlight w:val="none"/>
          <w:lang w:val="en-US" w:eastAsia="zh-CN"/>
        </w:rPr>
        <w:t>12.01</w:t>
      </w:r>
      <w:r>
        <w:rPr>
          <w:rFonts w:hint="eastAsia" w:ascii="Times New Roman" w:hAnsi="Times New Roman" w:eastAsia="仿宋_GB2312" w:cs="仿宋_GB2312"/>
          <w:color w:val="000000"/>
          <w:spacing w:val="0"/>
          <w:sz w:val="32"/>
          <w:highlight w:val="none"/>
          <w:lang w:val="en-US"/>
        </w:rPr>
        <w:t>%。主要原因是</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项目支出减少。</w:t>
      </w:r>
    </w:p>
    <w:p>
      <w:pPr>
        <w:keepNext w:val="0"/>
        <w:keepLines w:val="0"/>
        <w:pageBreakBefore w:val="0"/>
        <w:widowControl/>
        <w:kinsoku/>
        <w:wordWrap/>
        <w:overflowPunct/>
        <w:topLinePunct w:val="0"/>
        <w:autoSpaceDE/>
        <w:autoSpaceDN/>
        <w:bidi w:val="0"/>
        <w:adjustRightInd/>
        <w:snapToGrid/>
        <w:spacing w:line="560" w:lineRule="exact"/>
        <w:ind w:firstLine="606"/>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2.一般公共预算财政拨款支出决算结构情况</w:t>
      </w:r>
    </w:p>
    <w:p>
      <w:pPr>
        <w:keepNext w:val="0"/>
        <w:keepLines w:val="0"/>
        <w:pageBreakBefore w:val="0"/>
        <w:widowControl/>
        <w:kinsoku/>
        <w:wordWrap/>
        <w:overflowPunct/>
        <w:topLinePunct w:val="0"/>
        <w:autoSpaceDE/>
        <w:autoSpaceDN/>
        <w:bidi w:val="0"/>
        <w:adjustRightInd/>
        <w:snapToGrid/>
        <w:spacing w:line="560" w:lineRule="exact"/>
        <w:ind w:firstLine="606"/>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2020年度一般公共预算财政拨款支出271.68万元，主要用于以下方面：一般公共服务（类）支出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万元，占0%；国防（类）支出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万元,占0%；公共安全（类）支出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万元,占0%；教育（类）支出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万元,占0%；科学技术（类）支出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万元,占0%；文化旅游体育与传媒（类）支出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万元,占0%；社会保障和就业（类）支出</w:t>
      </w:r>
      <w:r>
        <w:rPr>
          <w:rFonts w:hint="eastAsia" w:ascii="Times New Roman" w:hAnsi="Times New Roman" w:eastAsia="仿宋_GB2312" w:cs="仿宋_GB2312"/>
          <w:color w:val="auto"/>
          <w:spacing w:val="0"/>
          <w:sz w:val="32"/>
          <w:highlight w:val="none"/>
          <w:lang w:val="zh-CN"/>
        </w:rPr>
        <w:t>18.03</w:t>
      </w:r>
      <w:r>
        <w:rPr>
          <w:rFonts w:hint="eastAsia" w:ascii="Times New Roman" w:hAnsi="Times New Roman" w:eastAsia="仿宋_GB2312" w:cs="仿宋_GB2312"/>
          <w:color w:val="000000"/>
          <w:spacing w:val="0"/>
          <w:sz w:val="32"/>
          <w:highlight w:val="none"/>
          <w:lang w:val="en-US"/>
        </w:rPr>
        <w:t>万元,占6.64%；卫生健康（类）支出</w:t>
      </w:r>
      <w:r>
        <w:rPr>
          <w:rFonts w:hint="eastAsia" w:ascii="Times New Roman" w:hAnsi="Times New Roman" w:eastAsia="仿宋_GB2312" w:cs="仿宋_GB2312"/>
          <w:color w:val="auto"/>
          <w:spacing w:val="0"/>
          <w:sz w:val="32"/>
          <w:highlight w:val="none"/>
          <w:lang w:val="zh-CN"/>
        </w:rPr>
        <w:t>7.19</w:t>
      </w:r>
      <w:r>
        <w:rPr>
          <w:rFonts w:hint="eastAsia" w:ascii="Times New Roman" w:hAnsi="Times New Roman" w:eastAsia="仿宋_GB2312" w:cs="仿宋_GB2312"/>
          <w:color w:val="000000"/>
          <w:spacing w:val="0"/>
          <w:sz w:val="32"/>
          <w:highlight w:val="none"/>
          <w:lang w:val="en-US"/>
        </w:rPr>
        <w:t>万元,占2.65%；节能环保（类）支出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万元,占0%；城乡社区（类）支出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万元,占0%；农林水（类）支出</w:t>
      </w:r>
      <w:r>
        <w:rPr>
          <w:rFonts w:hint="eastAsia" w:ascii="Times New Roman" w:hAnsi="Times New Roman" w:eastAsia="仿宋_GB2312" w:cs="仿宋_GB2312"/>
          <w:color w:val="auto"/>
          <w:spacing w:val="0"/>
          <w:sz w:val="32"/>
          <w:highlight w:val="none"/>
          <w:lang w:val="zh-CN"/>
        </w:rPr>
        <w:t>230.51</w:t>
      </w:r>
      <w:r>
        <w:rPr>
          <w:rFonts w:hint="eastAsia" w:ascii="Times New Roman" w:hAnsi="Times New Roman" w:eastAsia="仿宋_GB2312" w:cs="仿宋_GB2312"/>
          <w:color w:val="000000"/>
          <w:spacing w:val="0"/>
          <w:sz w:val="32"/>
          <w:highlight w:val="none"/>
          <w:lang w:val="en-US"/>
        </w:rPr>
        <w:t>万元,占84.84%；交通运输（类）支出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万元,占0%；资源勘探工业信息等（类）支出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万元,占0%；商业服务业等（类）支出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万元,占0%；金融（类）支出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万元,占0%；援助其他地区（类）支出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万元,占0%；自然资源海洋气象等（类）支出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万元,占0%；住房保障（类）支出</w:t>
      </w:r>
      <w:r>
        <w:rPr>
          <w:rFonts w:hint="eastAsia" w:ascii="Times New Roman" w:hAnsi="Times New Roman" w:eastAsia="仿宋_GB2312" w:cs="仿宋_GB2312"/>
          <w:color w:val="auto"/>
          <w:spacing w:val="0"/>
          <w:sz w:val="32"/>
          <w:highlight w:val="none"/>
          <w:lang w:val="zh-CN"/>
        </w:rPr>
        <w:t>15.95</w:t>
      </w:r>
      <w:r>
        <w:rPr>
          <w:rFonts w:hint="eastAsia" w:ascii="Times New Roman" w:hAnsi="Times New Roman" w:eastAsia="仿宋_GB2312" w:cs="仿宋_GB2312"/>
          <w:color w:val="000000"/>
          <w:spacing w:val="0"/>
          <w:sz w:val="32"/>
          <w:highlight w:val="none"/>
          <w:lang w:val="en-US"/>
        </w:rPr>
        <w:t>万元,占5.87%；粮油物资储备（类）支出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万元,占0%；灾害防治及应急管理（类）支出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万元,占0%；其他（类）支出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万元,占0%；债务还本（类）支出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万元,占0%；债务付息（类）支出</w:t>
      </w:r>
      <w:r>
        <w:rPr>
          <w:rFonts w:hint="eastAsia" w:ascii="Times New Roman" w:hAnsi="Times New Roman" w:eastAsia="仿宋_GB2312" w:cs="仿宋_GB2312"/>
          <w:color w:val="auto"/>
          <w:spacing w:val="0"/>
          <w:sz w:val="32"/>
          <w:highlight w:val="none"/>
          <w:lang w:val="zh-CN"/>
        </w:rPr>
        <w:t>0</w:t>
      </w:r>
      <w:r>
        <w:rPr>
          <w:rFonts w:hint="eastAsia" w:ascii="Times New Roman" w:hAnsi="Times New Roman" w:eastAsia="仿宋_GB2312" w:cs="仿宋_GB2312"/>
          <w:color w:val="000000"/>
          <w:spacing w:val="0"/>
          <w:sz w:val="32"/>
          <w:highlight w:val="none"/>
          <w:lang w:val="en-US"/>
        </w:rPr>
        <w:t>万元,占0%。</w:t>
      </w:r>
    </w:p>
    <w:p>
      <w:pPr>
        <w:keepNext w:val="0"/>
        <w:keepLines w:val="0"/>
        <w:pageBreakBefore w:val="0"/>
        <w:widowControl/>
        <w:kinsoku/>
        <w:wordWrap/>
        <w:overflowPunct/>
        <w:topLinePunct w:val="0"/>
        <w:autoSpaceDE/>
        <w:autoSpaceDN/>
        <w:bidi w:val="0"/>
        <w:adjustRightInd/>
        <w:snapToGrid/>
        <w:spacing w:line="560" w:lineRule="exact"/>
        <w:ind w:firstLine="606"/>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3.一般公共预算财政拨款支出决算具体情况</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color w:val="auto"/>
          <w:spacing w:val="0"/>
          <w:sz w:val="32"/>
          <w:highlight w:val="none"/>
          <w:lang w:val="en-US"/>
        </w:rPr>
        <w:t>2020年度</w:t>
      </w:r>
      <w:r>
        <w:rPr>
          <w:rFonts w:hint="eastAsia" w:ascii="Times New Roman" w:hAnsi="Times New Roman" w:eastAsia="仿宋_GB2312" w:cs="仿宋_GB2312"/>
          <w:color w:val="000000"/>
          <w:spacing w:val="0"/>
          <w:sz w:val="32"/>
          <w:highlight w:val="none"/>
          <w:lang w:val="en-US"/>
        </w:rPr>
        <w:t>一般公共预算</w:t>
      </w:r>
      <w:r>
        <w:rPr>
          <w:rFonts w:hint="eastAsia" w:ascii="Times New Roman" w:hAnsi="Times New Roman" w:eastAsia="仿宋_GB2312" w:cs="仿宋_GB2312"/>
          <w:color w:val="auto"/>
          <w:spacing w:val="0"/>
          <w:sz w:val="32"/>
          <w:highlight w:val="none"/>
          <w:lang w:val="en-US"/>
        </w:rPr>
        <w:t>财政拨款支出年初预算为</w:t>
      </w:r>
      <w:r>
        <w:rPr>
          <w:rFonts w:hint="eastAsia" w:ascii="Times New Roman" w:hAnsi="Times New Roman" w:eastAsia="仿宋_GB2312" w:cs="仿宋_GB2312"/>
          <w:color w:val="000000"/>
          <w:spacing w:val="0"/>
          <w:sz w:val="32"/>
          <w:highlight w:val="none"/>
          <w:lang w:val="en-US" w:eastAsia="zh-CN"/>
        </w:rPr>
        <w:t>217.75</w:t>
      </w:r>
      <w:r>
        <w:rPr>
          <w:rFonts w:hint="eastAsia" w:ascii="Times New Roman" w:hAnsi="Times New Roman" w:eastAsia="仿宋_GB2312" w:cs="仿宋_GB2312"/>
          <w:color w:val="auto"/>
          <w:spacing w:val="0"/>
          <w:sz w:val="32"/>
          <w:highlight w:val="none"/>
          <w:lang w:val="en-US"/>
        </w:rPr>
        <w:t>万元，支出决算为</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271.68</w:t>
      </w:r>
      <w:r>
        <w:rPr>
          <w:rFonts w:hint="eastAsia" w:ascii="Times New Roman" w:hAnsi="Times New Roman" w:eastAsia="仿宋_GB2312" w:cs="仿宋_GB2312"/>
          <w:color w:val="000000"/>
          <w:spacing w:val="0"/>
          <w:sz w:val="32"/>
          <w:highlight w:val="none"/>
          <w:lang w:val="en-US"/>
        </w:rPr>
        <w:t>万元</w:t>
      </w:r>
      <w:r>
        <w:rPr>
          <w:rFonts w:hint="eastAsia" w:ascii="Times New Roman" w:hAnsi="Times New Roman" w:eastAsia="仿宋_GB2312" w:cs="仿宋_GB2312"/>
          <w:color w:val="auto"/>
          <w:spacing w:val="0"/>
          <w:sz w:val="32"/>
          <w:highlight w:val="none"/>
          <w:lang w:val="en-US"/>
        </w:rPr>
        <w:t>,完成年初预算的</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124.77</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auto"/>
          <w:spacing w:val="0"/>
          <w:sz w:val="32"/>
          <w:highlight w:val="none"/>
          <w:lang w:val="en-US"/>
        </w:rPr>
        <w:t>，主要原因是年中追加项目经费。</w:t>
      </w:r>
      <w:r>
        <w:rPr>
          <w:rFonts w:hint="eastAsia" w:ascii="Times New Roman" w:hAnsi="Times New Roman" w:eastAsia="仿宋_GB2312" w:cs="仿宋_GB2312"/>
          <w:color w:val="000000"/>
          <w:spacing w:val="0"/>
          <w:sz w:val="32"/>
          <w:highlight w:val="none"/>
          <w:lang w:val="en-US"/>
        </w:rPr>
        <w:t>其中：</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lang w:eastAsia="zh-CN"/>
        </w:rPr>
        <w:t>教育支出</w:t>
      </w:r>
      <w:r>
        <w:rPr>
          <w:rFonts w:hint="eastAsia" w:ascii="Times New Roman" w:hAnsi="Times New Roman" w:eastAsia="仿宋_GB2312" w:cs="仿宋_GB2312"/>
          <w:bCs/>
          <w:color w:val="000000"/>
          <w:spacing w:val="0"/>
          <w:sz w:val="32"/>
          <w:szCs w:val="32"/>
          <w:highlight w:val="none"/>
        </w:rPr>
        <w:t>（类）</w:t>
      </w:r>
      <w:r>
        <w:rPr>
          <w:rFonts w:hint="eastAsia" w:ascii="Times New Roman" w:hAnsi="Times New Roman" w:eastAsia="仿宋_GB2312" w:cs="仿宋_GB2312"/>
          <w:bCs/>
          <w:color w:val="000000"/>
          <w:spacing w:val="0"/>
          <w:sz w:val="32"/>
          <w:szCs w:val="32"/>
          <w:highlight w:val="none"/>
          <w:lang w:eastAsia="zh-CN"/>
        </w:rPr>
        <w:t>进修及培训</w:t>
      </w:r>
      <w:r>
        <w:rPr>
          <w:rFonts w:hint="eastAsia" w:ascii="Times New Roman" w:hAnsi="Times New Roman" w:eastAsia="仿宋_GB2312" w:cs="仿宋_GB2312"/>
          <w:bCs/>
          <w:color w:val="000000"/>
          <w:spacing w:val="0"/>
          <w:sz w:val="32"/>
          <w:szCs w:val="32"/>
          <w:highlight w:val="none"/>
        </w:rPr>
        <w:t>（款）</w:t>
      </w:r>
      <w:r>
        <w:rPr>
          <w:rFonts w:hint="eastAsia" w:ascii="Times New Roman" w:hAnsi="Times New Roman" w:eastAsia="仿宋_GB2312" w:cs="仿宋_GB2312"/>
          <w:bCs/>
          <w:color w:val="000000"/>
          <w:spacing w:val="0"/>
          <w:sz w:val="32"/>
          <w:szCs w:val="32"/>
          <w:highlight w:val="none"/>
          <w:lang w:eastAsia="zh-CN"/>
        </w:rPr>
        <w:t>培训支出</w:t>
      </w:r>
      <w:r>
        <w:rPr>
          <w:rFonts w:hint="eastAsia" w:ascii="Times New Roman" w:hAnsi="Times New Roman" w:eastAsia="仿宋_GB2312" w:cs="仿宋_GB2312"/>
          <w:bCs/>
          <w:color w:val="000000"/>
          <w:spacing w:val="0"/>
          <w:sz w:val="32"/>
          <w:szCs w:val="32"/>
          <w:highlight w:val="none"/>
        </w:rPr>
        <w:t>（项）</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2.25</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0</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-100</w:t>
      </w:r>
      <w:r>
        <w:rPr>
          <w:rFonts w:hint="eastAsia" w:ascii="Times New Roman" w:hAnsi="Times New Roman" w:eastAsia="仿宋_GB2312" w:cs="仿宋_GB2312"/>
          <w:color w:val="000000"/>
          <w:spacing w:val="0"/>
          <w:sz w:val="32"/>
          <w:highlight w:val="none"/>
          <w:lang w:val="en-US"/>
        </w:rPr>
        <w:t>%，决算数小于预算数的主要原因</w:t>
      </w:r>
      <w:r>
        <w:rPr>
          <w:rFonts w:hint="eastAsia" w:ascii="Times New Roman" w:hAnsi="Times New Roman" w:eastAsia="仿宋_GB2312" w:cs="仿宋_GB2312"/>
          <w:color w:val="000000"/>
          <w:spacing w:val="0"/>
          <w:sz w:val="32"/>
          <w:szCs w:val="24"/>
          <w:highlight w:val="none"/>
          <w:lang w:val="en-US" w:eastAsia="zh-CN"/>
        </w:rPr>
        <w:t>未安排人员培训</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rPr>
        <w:t>社会保障和就业支出（类）行政事业单位养老支出（款）机关事业单位基本养老保险缴费支出（项）</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12.26</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12.04</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98.21</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000000"/>
          <w:spacing w:val="0"/>
          <w:sz w:val="32"/>
          <w:highlight w:val="none"/>
          <w:lang w:val="en-US" w:eastAsia="zh-CN"/>
        </w:rPr>
        <w:t>基本完成年初预算目标</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rPr>
        <w:t>社会保障和就业支出（类）行政事业单位养老支出（款）机关事业单位职业年金缴费支出（项）</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6.13</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5.99</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97.72</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000000"/>
          <w:spacing w:val="0"/>
          <w:sz w:val="32"/>
          <w:highlight w:val="none"/>
          <w:lang w:val="en-US" w:eastAsia="zh-CN"/>
        </w:rPr>
        <w:t>基本完成年初预算目标</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rPr>
        <w:t>卫生健康支出（类）行政事业单位医疗（款）事业单位医疗（项）</w:t>
      </w:r>
      <w:r>
        <w:rPr>
          <w:rFonts w:hint="eastAsia" w:ascii="Times New Roman" w:hAnsi="Times New Roman" w:eastAsia="仿宋_GB2312" w:cs="仿宋_GB2312"/>
          <w:bCs/>
          <w:color w:val="000000"/>
          <w:spacing w:val="0"/>
          <w:sz w:val="32"/>
          <w:szCs w:val="32"/>
          <w:highlight w:val="none"/>
          <w:lang w:eastAsia="zh-CN"/>
        </w:rPr>
        <w:t>。</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7.28</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7.19</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98.76</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000000"/>
          <w:spacing w:val="0"/>
          <w:sz w:val="32"/>
          <w:highlight w:val="none"/>
          <w:lang w:val="en-US" w:eastAsia="zh-CN"/>
        </w:rPr>
        <w:t>基本完成年初预算目标</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eastAsia="zh-CN"/>
        </w:rPr>
        <w:t>农林水支出（类）林业和草原（款）事业机构（项）。年初预算为131.36万元，支出决算为122.57万元，完成年初预算的93.31%，决算数小于预算数的主要原因是</w:t>
      </w:r>
      <w:r>
        <w:rPr>
          <w:rFonts w:hint="eastAsia" w:ascii="Times New Roman" w:hAnsi="Times New Roman" w:eastAsia="仿宋_GB2312" w:cs="仿宋_GB2312"/>
          <w:color w:val="000000" w:themeColor="text1"/>
          <w:spacing w:val="0"/>
          <w:sz w:val="32"/>
          <w:highlight w:val="none"/>
          <w:lang w:val="en-US" w:eastAsia="zh-CN"/>
          <w14:textFill>
            <w14:solidFill>
              <w14:schemeClr w14:val="tx1"/>
            </w14:solidFill>
          </w14:textFill>
        </w:rPr>
        <w:t>经费结余</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rPr>
        <w:t>农林水支出（类）林业和草原（款）</w:t>
      </w:r>
      <w:r>
        <w:rPr>
          <w:rFonts w:hint="eastAsia" w:ascii="Times New Roman" w:hAnsi="Times New Roman" w:eastAsia="仿宋_GB2312" w:cs="仿宋_GB2312"/>
          <w:bCs/>
          <w:color w:val="000000"/>
          <w:spacing w:val="0"/>
          <w:sz w:val="32"/>
          <w:szCs w:val="32"/>
          <w:highlight w:val="none"/>
          <w:lang w:eastAsia="zh-CN"/>
        </w:rPr>
        <w:t>技术推广与转化</w:t>
      </w:r>
      <w:r>
        <w:rPr>
          <w:rFonts w:hint="eastAsia" w:ascii="Times New Roman" w:hAnsi="Times New Roman" w:eastAsia="仿宋_GB2312" w:cs="仿宋_GB2312"/>
          <w:bCs/>
          <w:color w:val="000000"/>
          <w:spacing w:val="0"/>
          <w:sz w:val="32"/>
          <w:szCs w:val="32"/>
          <w:highlight w:val="none"/>
        </w:rPr>
        <w:t>（项）</w:t>
      </w:r>
      <w:r>
        <w:rPr>
          <w:rFonts w:hint="eastAsia" w:ascii="Times New Roman" w:hAnsi="Times New Roman" w:eastAsia="仿宋_GB2312" w:cs="仿宋_GB2312"/>
          <w:bCs/>
          <w:color w:val="000000"/>
          <w:spacing w:val="0"/>
          <w:sz w:val="32"/>
          <w:szCs w:val="32"/>
          <w:highlight w:val="none"/>
          <w:lang w:eastAsia="zh-CN"/>
        </w:rPr>
        <w:t>。</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4</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3.99</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99.75</w:t>
      </w:r>
      <w:r>
        <w:rPr>
          <w:rFonts w:hint="eastAsia" w:ascii="Times New Roman" w:hAnsi="Times New Roman" w:eastAsia="仿宋_GB2312" w:cs="仿宋_GB2312"/>
          <w:color w:val="000000"/>
          <w:spacing w:val="0"/>
          <w:sz w:val="32"/>
          <w:highlight w:val="none"/>
          <w:lang w:val="en-US"/>
        </w:rPr>
        <w:t>%，</w:t>
      </w:r>
      <w:r>
        <w:rPr>
          <w:rFonts w:hint="eastAsia" w:ascii="Times New Roman" w:hAnsi="Times New Roman" w:eastAsia="仿宋_GB2312" w:cs="仿宋_GB2312"/>
          <w:color w:val="000000"/>
          <w:spacing w:val="0"/>
          <w:sz w:val="32"/>
          <w:highlight w:val="none"/>
          <w:lang w:val="en-US" w:eastAsia="zh-CN"/>
        </w:rPr>
        <w:t>基本完成年初预算目标</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Cs/>
          <w:color w:val="000000"/>
          <w:spacing w:val="0"/>
          <w:sz w:val="32"/>
          <w:szCs w:val="32"/>
          <w:highlight w:val="none"/>
        </w:rPr>
        <w:t>农林水支出（类）林业和草原（款）其他林业支出（项）</w:t>
      </w:r>
      <w:r>
        <w:rPr>
          <w:rFonts w:hint="eastAsia" w:ascii="Times New Roman" w:hAnsi="Times New Roman" w:eastAsia="仿宋_GB2312" w:cs="仿宋_GB2312"/>
          <w:bCs/>
          <w:color w:val="000000"/>
          <w:spacing w:val="0"/>
          <w:sz w:val="32"/>
          <w:szCs w:val="32"/>
          <w:highlight w:val="none"/>
          <w:lang w:eastAsia="zh-CN"/>
        </w:rPr>
        <w:t>。</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39</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103.95</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266.54</w:t>
      </w:r>
      <w:r>
        <w:rPr>
          <w:rFonts w:hint="eastAsia" w:ascii="Times New Roman" w:hAnsi="Times New Roman" w:eastAsia="仿宋_GB2312" w:cs="仿宋_GB2312"/>
          <w:color w:val="000000"/>
          <w:spacing w:val="0"/>
          <w:sz w:val="32"/>
          <w:highlight w:val="none"/>
          <w:lang w:val="en-US"/>
        </w:rPr>
        <w:t>%，决算数大于预算数的主要原因</w:t>
      </w:r>
      <w:r>
        <w:rPr>
          <w:rFonts w:hint="eastAsia" w:ascii="Times New Roman" w:hAnsi="Times New Roman" w:eastAsia="仿宋_GB2312" w:cs="仿宋_GB2312"/>
          <w:color w:val="000000"/>
          <w:spacing w:val="0"/>
          <w:sz w:val="32"/>
          <w:highlight w:val="none"/>
          <w:lang w:val="en-US" w:eastAsia="zh-CN"/>
        </w:rPr>
        <w:t>年中追加项目经费</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pacing w:val="0"/>
          <w:sz w:val="32"/>
          <w:highlight w:val="none"/>
          <w:lang w:val="en-US"/>
        </w:rPr>
      </w:pPr>
      <w:r>
        <w:rPr>
          <w:rFonts w:hint="eastAsia" w:ascii="Times New Roman" w:hAnsi="Times New Roman" w:eastAsia="仿宋_GB2312" w:cs="仿宋_GB2312"/>
          <w:bCs/>
          <w:color w:val="000000"/>
          <w:spacing w:val="0"/>
          <w:sz w:val="32"/>
          <w:szCs w:val="32"/>
          <w:highlight w:val="none"/>
        </w:rPr>
        <w:t>住房保障支出（类）住房改革支出（款）住房公积金（项）</w:t>
      </w:r>
      <w:r>
        <w:rPr>
          <w:rFonts w:hint="eastAsia" w:ascii="Times New Roman" w:hAnsi="Times New Roman" w:eastAsia="仿宋_GB2312" w:cs="仿宋_GB2312"/>
          <w:bCs/>
          <w:color w:val="000000"/>
          <w:spacing w:val="0"/>
          <w:sz w:val="32"/>
          <w:szCs w:val="32"/>
          <w:highlight w:val="none"/>
          <w:lang w:eastAsia="zh-CN"/>
        </w:rPr>
        <w:t>。</w:t>
      </w:r>
      <w:r>
        <w:rPr>
          <w:rFonts w:hint="eastAsia" w:ascii="Times New Roman" w:hAnsi="Times New Roman" w:eastAsia="仿宋_GB2312" w:cs="仿宋_GB2312"/>
          <w:color w:val="000000"/>
          <w:spacing w:val="0"/>
          <w:sz w:val="32"/>
          <w:highlight w:val="none"/>
          <w:lang w:val="en-US"/>
        </w:rPr>
        <w:t>年初预算为</w:t>
      </w:r>
      <w:r>
        <w:rPr>
          <w:rFonts w:hint="eastAsia" w:ascii="Times New Roman" w:hAnsi="Times New Roman" w:eastAsia="仿宋_GB2312" w:cs="仿宋_GB2312"/>
          <w:color w:val="000000"/>
          <w:spacing w:val="0"/>
          <w:sz w:val="32"/>
          <w:highlight w:val="none"/>
          <w:lang w:val="en-US" w:eastAsia="zh-CN"/>
        </w:rPr>
        <w:t>15.47</w:t>
      </w:r>
      <w:r>
        <w:rPr>
          <w:rFonts w:hint="eastAsia" w:ascii="Times New Roman" w:hAnsi="Times New Roman" w:eastAsia="仿宋_GB2312" w:cs="仿宋_GB2312"/>
          <w:color w:val="000000"/>
          <w:spacing w:val="0"/>
          <w:sz w:val="32"/>
          <w:highlight w:val="none"/>
          <w:lang w:val="en-US"/>
        </w:rPr>
        <w:t>万元，支出决算为</w:t>
      </w:r>
      <w:r>
        <w:rPr>
          <w:rFonts w:hint="eastAsia" w:ascii="Times New Roman" w:hAnsi="Times New Roman" w:eastAsia="仿宋_GB2312" w:cs="仿宋_GB2312"/>
          <w:color w:val="000000"/>
          <w:spacing w:val="0"/>
          <w:sz w:val="32"/>
          <w:highlight w:val="none"/>
          <w:lang w:val="en-US" w:eastAsia="zh-CN"/>
        </w:rPr>
        <w:t>15.95</w:t>
      </w:r>
      <w:r>
        <w:rPr>
          <w:rFonts w:hint="eastAsia" w:ascii="Times New Roman" w:hAnsi="Times New Roman" w:eastAsia="仿宋_GB2312" w:cs="仿宋_GB2312"/>
          <w:color w:val="000000"/>
          <w:spacing w:val="0"/>
          <w:sz w:val="32"/>
          <w:highlight w:val="none"/>
          <w:lang w:val="en-US"/>
        </w:rPr>
        <w:t>万元，完成年初预算的</w:t>
      </w:r>
      <w:r>
        <w:rPr>
          <w:rFonts w:hint="eastAsia" w:ascii="Times New Roman" w:hAnsi="Times New Roman" w:eastAsia="仿宋_GB2312" w:cs="仿宋_GB2312"/>
          <w:color w:val="000000"/>
          <w:spacing w:val="0"/>
          <w:sz w:val="32"/>
          <w:highlight w:val="none"/>
          <w:lang w:val="en-US" w:eastAsia="zh-CN"/>
        </w:rPr>
        <w:t>103.10</w:t>
      </w:r>
      <w:r>
        <w:rPr>
          <w:rFonts w:hint="eastAsia" w:ascii="Times New Roman" w:hAnsi="Times New Roman" w:eastAsia="仿宋_GB2312" w:cs="仿宋_GB2312"/>
          <w:color w:val="000000"/>
          <w:spacing w:val="0"/>
          <w:sz w:val="32"/>
          <w:highlight w:val="none"/>
          <w:lang w:val="en-US"/>
        </w:rPr>
        <w:t>%，决算数大于预算数的</w:t>
      </w:r>
      <w:r>
        <w:rPr>
          <w:rFonts w:hint="eastAsia" w:ascii="Times New Roman" w:hAnsi="Times New Roman" w:eastAsia="仿宋_GB2312" w:cs="仿宋_GB2312"/>
          <w:color w:val="auto"/>
          <w:spacing w:val="0"/>
          <w:sz w:val="32"/>
          <w:highlight w:val="none"/>
          <w:lang w:val="en-US"/>
        </w:rPr>
        <w:t>主要原因</w:t>
      </w:r>
      <w:r>
        <w:rPr>
          <w:rFonts w:hint="eastAsia" w:ascii="Times New Roman" w:hAnsi="Times New Roman" w:eastAsia="仿宋_GB2312" w:cs="仿宋_GB2312"/>
          <w:color w:val="auto"/>
          <w:spacing w:val="0"/>
          <w:sz w:val="32"/>
          <w:highlight w:val="none"/>
          <w:lang w:val="en-US" w:eastAsia="zh-CN"/>
        </w:rPr>
        <w:t>公积金基数提高</w:t>
      </w:r>
      <w:r>
        <w:rPr>
          <w:rFonts w:hint="eastAsia" w:ascii="Times New Roman" w:hAnsi="Times New Roman" w:eastAsia="仿宋_GB2312" w:cs="仿宋_GB2312"/>
          <w:color w:val="auto"/>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2020年度一般公共预算财政拨款基本支出163.75万元，其中：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人员经费149.64万元，主要包括：基本工资、津贴补贴、奖金、</w:t>
      </w:r>
      <w:r>
        <w:rPr>
          <w:rFonts w:hint="eastAsia" w:ascii="Times New Roman" w:hAnsi="Times New Roman" w:eastAsia="仿宋_GB2312" w:cs="仿宋_GB2312"/>
          <w:color w:val="000000"/>
          <w:spacing w:val="0"/>
          <w:sz w:val="32"/>
          <w:szCs w:val="32"/>
          <w:highlight w:val="none"/>
        </w:rPr>
        <w:t>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仿宋_GB2312"/>
          <w:color w:val="000000"/>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pacing w:val="0"/>
          <w:sz w:val="32"/>
          <w:szCs w:val="32"/>
          <w:highlight w:val="none"/>
          <w:shd w:val="pct10" w:color="auto" w:fill="FFFFFF"/>
        </w:rPr>
      </w:pPr>
      <w:r>
        <w:rPr>
          <w:rFonts w:hint="eastAsia" w:ascii="Times New Roman" w:hAnsi="Times New Roman" w:eastAsia="仿宋_GB2312" w:cs="仿宋_GB2312"/>
          <w:color w:val="000000"/>
          <w:spacing w:val="0"/>
          <w:sz w:val="32"/>
          <w:highlight w:val="none"/>
          <w:lang w:val="en-US"/>
        </w:rPr>
        <w:t>公用经费14.11万元，主要包括：办公费、</w:t>
      </w:r>
      <w:r>
        <w:rPr>
          <w:rFonts w:hint="eastAsia" w:ascii="Times New Roman" w:hAnsi="Times New Roman" w:eastAsia="仿宋_GB2312" w:cs="仿宋_GB2312"/>
          <w:color w:val="000000"/>
          <w:spacing w:val="0"/>
          <w:sz w:val="32"/>
          <w:szCs w:val="32"/>
          <w:highlight w:val="none"/>
        </w:rPr>
        <w:t>邮电费、差旅费、公务接待费、劳务费、工会经费、福利费、其他商品和服务支出。</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政府性基金预算财政拨款支出</w:t>
      </w:r>
      <w:r>
        <w:rPr>
          <w:rFonts w:hint="eastAsia" w:ascii="Times New Roman" w:hAnsi="Times New Roman" w:eastAsia="楷体_GB2312" w:cs="楷体_GB2312"/>
          <w:b w:val="0"/>
          <w:bCs/>
          <w:color w:val="000000"/>
          <w:spacing w:val="0"/>
          <w:sz w:val="32"/>
          <w:highlight w:val="none"/>
          <w:lang w:val="zh-CN"/>
        </w:rPr>
        <w:t>决算</w:t>
      </w:r>
      <w:r>
        <w:rPr>
          <w:rFonts w:hint="eastAsia" w:ascii="Times New Roman" w:hAnsi="Times New Roman" w:eastAsia="楷体_GB2312" w:cs="楷体_GB2312"/>
          <w:b w:val="0"/>
          <w:bCs/>
          <w:color w:val="000000"/>
          <w:spacing w:val="0"/>
          <w:sz w:val="32"/>
          <w:highlight w:val="none"/>
          <w:lang w:val="en-US"/>
        </w:rPr>
        <w:t>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b/>
          <w:color w:val="000000"/>
          <w:spacing w:val="0"/>
          <w:sz w:val="32"/>
          <w:highlight w:val="none"/>
          <w:lang w:val="en-US"/>
        </w:rPr>
      </w:pPr>
      <w:r>
        <w:rPr>
          <w:rFonts w:hint="eastAsia" w:ascii="Times New Roman" w:hAnsi="Times New Roman" w:eastAsia="仿宋"/>
          <w:color w:val="000000"/>
          <w:spacing w:val="0"/>
          <w:sz w:val="32"/>
          <w:highlight w:val="none"/>
          <w:lang w:val="en-US"/>
        </w:rPr>
        <w:t>本单位2020年度无政府性基金预算财政拨款收支安排，故无相关数据</w:t>
      </w:r>
      <w:r>
        <w:rPr>
          <w:rFonts w:hint="eastAsia" w:ascii="Times New Roman" w:hAnsi="Times New Roman" w:eastAsia="仿宋"/>
          <w:color w:val="000000"/>
          <w:spacing w:val="0"/>
          <w:sz w:val="32"/>
          <w:highlight w:val="none"/>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国有资本经营预算财政拨款支出</w:t>
      </w:r>
      <w:r>
        <w:rPr>
          <w:rFonts w:hint="eastAsia" w:ascii="Times New Roman" w:hAnsi="Times New Roman" w:eastAsia="楷体_GB2312" w:cs="楷体_GB2312"/>
          <w:b w:val="0"/>
          <w:bCs/>
          <w:color w:val="000000"/>
          <w:spacing w:val="0"/>
          <w:sz w:val="32"/>
          <w:highlight w:val="none"/>
          <w:lang w:val="zh-CN"/>
        </w:rPr>
        <w:t>决算</w:t>
      </w:r>
      <w:r>
        <w:rPr>
          <w:rFonts w:hint="eastAsia" w:ascii="Times New Roman" w:hAnsi="Times New Roman" w:eastAsia="楷体_GB2312" w:cs="楷体_GB2312"/>
          <w:b w:val="0"/>
          <w:bCs/>
          <w:color w:val="000000"/>
          <w:spacing w:val="0"/>
          <w:sz w:val="32"/>
          <w:highlight w:val="none"/>
          <w:lang w:val="en-US"/>
        </w:rPr>
        <w:t>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b/>
          <w:color w:val="000000"/>
          <w:spacing w:val="0"/>
          <w:sz w:val="32"/>
          <w:highlight w:val="none"/>
          <w:lang w:val="en-US"/>
        </w:rPr>
      </w:pPr>
      <w:r>
        <w:rPr>
          <w:rFonts w:hint="eastAsia" w:ascii="Times New Roman" w:hAnsi="Times New Roman" w:eastAsia="仿宋"/>
          <w:color w:val="000000"/>
          <w:spacing w:val="0"/>
          <w:sz w:val="32"/>
          <w:highlight w:val="none"/>
          <w:lang w:val="en-US"/>
        </w:rPr>
        <w:t>本单位2020年度无国有资本经营预算财政拨款收支安排，故无相关数据</w:t>
      </w:r>
      <w:r>
        <w:rPr>
          <w:rFonts w:hint="eastAsia" w:ascii="Times New Roman" w:hAnsi="Times New Roman" w:eastAsia="仿宋"/>
          <w:color w:val="000000"/>
          <w:spacing w:val="0"/>
          <w:sz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（九）一般公共预算财政拨款“三公”经费支出决算情况说明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bCs w:val="0"/>
          <w:color w:val="000000"/>
          <w:spacing w:val="0"/>
          <w:sz w:val="32"/>
          <w:szCs w:val="32"/>
          <w:highlight w:val="none"/>
          <w:lang w:val="en-US"/>
        </w:rPr>
      </w:pPr>
      <w:r>
        <w:rPr>
          <w:rFonts w:hint="eastAsia" w:ascii="Times New Roman" w:hAnsi="Times New Roman" w:eastAsia="仿宋_GB2312" w:cs="仿宋_GB2312"/>
          <w:b/>
          <w:bCs w:val="0"/>
          <w:color w:val="000000"/>
          <w:spacing w:val="0"/>
          <w:sz w:val="32"/>
          <w:szCs w:val="32"/>
          <w:highlight w:val="none"/>
          <w:lang w:val="en-US"/>
        </w:rPr>
        <w:t>1.“三公”经费一般公共预算财政拨款支出决算总体情况说明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themeColor="text1"/>
          <w:spacing w:val="0"/>
          <w:sz w:val="32"/>
          <w:szCs w:val="32"/>
          <w:highlight w:val="none"/>
          <w:lang w:val="en-US"/>
          <w14:textFill>
            <w14:solidFill>
              <w14:schemeClr w14:val="tx1"/>
            </w14:solidFill>
          </w14:textFill>
        </w:rPr>
      </w:pPr>
      <w:r>
        <w:rPr>
          <w:rFonts w:hint="eastAsia" w:ascii="Times New Roman" w:hAnsi="Times New Roman" w:eastAsia="仿宋_GB2312" w:cs="仿宋_GB2312"/>
          <w:color w:val="000000"/>
          <w:spacing w:val="0"/>
          <w:sz w:val="32"/>
          <w:szCs w:val="32"/>
          <w:highlight w:val="none"/>
          <w:lang w:val="en-US"/>
        </w:rPr>
        <w:t>2020年度“三公”经费一般公共预算财政拨款支出预算为</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0.9</w:t>
      </w:r>
      <w:r>
        <w:rPr>
          <w:rFonts w:hint="eastAsia" w:ascii="Times New Roman" w:hAnsi="Times New Roman" w:eastAsia="仿宋_GB2312" w:cs="仿宋_GB2312"/>
          <w:color w:val="000000"/>
          <w:spacing w:val="0"/>
          <w:sz w:val="32"/>
          <w:szCs w:val="32"/>
          <w:highlight w:val="none"/>
          <w:lang w:val="en-US"/>
        </w:rPr>
        <w:t>万元，支出决算为0.9万元，完成预算的</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100</w:t>
      </w:r>
      <w:r>
        <w:rPr>
          <w:rFonts w:hint="eastAsia" w:ascii="Times New Roman" w:hAnsi="Times New Roman" w:eastAsia="仿宋_GB2312" w:cs="仿宋_GB2312"/>
          <w:color w:val="000000"/>
          <w:spacing w:val="0"/>
          <w:sz w:val="32"/>
          <w:szCs w:val="32"/>
          <w:highlight w:val="none"/>
          <w:lang w:val="en-US"/>
        </w:rPr>
        <w:t>%</w:t>
      </w:r>
      <w:r>
        <w:rPr>
          <w:rFonts w:hint="eastAsia" w:ascii="Times New Roman" w:hAnsi="Times New Roman" w:eastAsia="仿宋_GB2312" w:cs="仿宋_GB2312"/>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2020年度“三公”经费支出决算数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
          <w:color w:val="000000" w:themeColor="text1"/>
          <w:sz w:val="32"/>
          <w:highlight w:val="white"/>
          <w:lang w:val="en-US" w:eastAsia="zh-CN"/>
          <w14:textFill>
            <w14:solidFill>
              <w14:schemeClr w14:val="tx1"/>
            </w14:solidFill>
          </w14:textFill>
        </w:rPr>
        <w:t>严格按照年初安排的预算支出</w:t>
      </w:r>
      <w:r>
        <w:rPr>
          <w:rFonts w:hint="eastAsia" w:ascii="Times New Roman" w:hAnsi="Times New Roman" w:eastAsia="仿宋_GB2312" w:cs="仿宋_GB2312"/>
          <w:color w:val="000000" w:themeColor="text1"/>
          <w:spacing w:val="0"/>
          <w:sz w:val="32"/>
          <w:szCs w:val="32"/>
          <w:highlight w:val="none"/>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2.“三公”经费一般公共预算财政拨款支出决算具体情况说明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rPr>
        <w:t>2020年度“三公”经费一般公共预算财政拨款支出决算中，因公出国（境）费用支出决算为0万元，占0%，与2019年度相比</w:t>
      </w:r>
      <w:r>
        <w:rPr>
          <w:rFonts w:hint="eastAsia" w:ascii="Times New Roman" w:hAnsi="Times New Roman" w:eastAsia="仿宋_GB2312" w:cs="仿宋_GB2312"/>
          <w:color w:val="000000"/>
          <w:spacing w:val="0"/>
          <w:sz w:val="32"/>
          <w:szCs w:val="32"/>
          <w:highlight w:val="none"/>
          <w:lang w:val="en-US" w:eastAsia="zh-CN"/>
        </w:rPr>
        <w:t>持平</w:t>
      </w:r>
      <w:r>
        <w:rPr>
          <w:rFonts w:hint="eastAsia" w:ascii="Times New Roman" w:hAnsi="Times New Roman" w:eastAsia="仿宋_GB2312" w:cs="仿宋_GB2312"/>
          <w:color w:val="000000"/>
          <w:spacing w:val="0"/>
          <w:sz w:val="32"/>
          <w:szCs w:val="32"/>
          <w:highlight w:val="none"/>
          <w:lang w:val="en-US"/>
        </w:rPr>
        <w:t>，主要原因是</w:t>
      </w:r>
      <w:r>
        <w:rPr>
          <w:rFonts w:hint="eastAsia" w:ascii="Times New Roman" w:hAnsi="Times New Roman" w:eastAsia="仿宋_GB2312" w:cs="仿宋_GB2312"/>
          <w:color w:val="000000"/>
          <w:spacing w:val="0"/>
          <w:sz w:val="32"/>
          <w:szCs w:val="32"/>
          <w:highlight w:val="none"/>
          <w:lang w:val="en-US" w:eastAsia="zh-CN"/>
        </w:rPr>
        <w:t>2020年无</w:t>
      </w:r>
      <w:r>
        <w:rPr>
          <w:rFonts w:hint="eastAsia" w:ascii="Times New Roman" w:hAnsi="Times New Roman" w:eastAsia="仿宋_GB2312" w:cs="仿宋_GB2312"/>
          <w:color w:val="000000"/>
          <w:spacing w:val="0"/>
          <w:sz w:val="32"/>
          <w:szCs w:val="32"/>
          <w:highlight w:val="none"/>
          <w:lang w:val="en-US"/>
        </w:rPr>
        <w:t>因公出国（境）</w:t>
      </w:r>
      <w:r>
        <w:rPr>
          <w:rFonts w:hint="eastAsia" w:ascii="Times New Roman" w:hAnsi="Times New Roman" w:eastAsia="仿宋_GB2312" w:cs="仿宋_GB2312"/>
          <w:color w:val="000000"/>
          <w:spacing w:val="0"/>
          <w:sz w:val="32"/>
          <w:szCs w:val="32"/>
          <w:highlight w:val="none"/>
          <w:lang w:val="en-US" w:eastAsia="zh-CN"/>
        </w:rPr>
        <w:t>人员</w:t>
      </w:r>
      <w:r>
        <w:rPr>
          <w:rFonts w:hint="eastAsia" w:ascii="Times New Roman" w:hAnsi="Times New Roman" w:eastAsia="仿宋_GB2312" w:cs="仿宋_GB2312"/>
          <w:color w:val="000000"/>
          <w:spacing w:val="0"/>
          <w:sz w:val="32"/>
          <w:szCs w:val="32"/>
          <w:highlight w:val="none"/>
          <w:lang w:val="en-US"/>
        </w:rPr>
        <w:t>；公务用车购置及运行维护费支出决算为0万元，占0%，与2019年度相比</w:t>
      </w:r>
      <w:r>
        <w:rPr>
          <w:rFonts w:hint="eastAsia" w:ascii="Times New Roman" w:hAnsi="Times New Roman" w:eastAsia="仿宋_GB2312" w:cs="仿宋_GB2312"/>
          <w:color w:val="000000"/>
          <w:spacing w:val="0"/>
          <w:sz w:val="32"/>
          <w:szCs w:val="32"/>
          <w:highlight w:val="none"/>
          <w:lang w:val="en-US" w:eastAsia="zh-CN"/>
        </w:rPr>
        <w:t>持平</w:t>
      </w:r>
      <w:r>
        <w:rPr>
          <w:rFonts w:hint="eastAsia" w:ascii="Times New Roman" w:hAnsi="Times New Roman" w:eastAsia="仿宋_GB2312" w:cs="仿宋_GB2312"/>
          <w:color w:val="000000"/>
          <w:spacing w:val="0"/>
          <w:sz w:val="32"/>
          <w:szCs w:val="32"/>
          <w:highlight w:val="none"/>
          <w:lang w:val="en-US"/>
        </w:rPr>
        <w:t>，主要原因是</w:t>
      </w:r>
      <w:r>
        <w:rPr>
          <w:rFonts w:hint="eastAsia" w:ascii="Times New Roman" w:hAnsi="Times New Roman" w:eastAsia="仿宋_GB2312" w:cs="仿宋_GB2312"/>
          <w:color w:val="000000"/>
          <w:spacing w:val="0"/>
          <w:sz w:val="32"/>
          <w:szCs w:val="32"/>
          <w:highlight w:val="none"/>
          <w:lang w:val="en-US" w:eastAsia="zh-CN"/>
        </w:rPr>
        <w:t>2020年无</w:t>
      </w:r>
      <w:r>
        <w:rPr>
          <w:rFonts w:hint="eastAsia" w:ascii="Times New Roman" w:hAnsi="Times New Roman" w:eastAsia="仿宋_GB2312" w:cs="仿宋_GB2312"/>
          <w:color w:val="000000"/>
          <w:spacing w:val="0"/>
          <w:sz w:val="32"/>
          <w:szCs w:val="32"/>
          <w:highlight w:val="none"/>
          <w:lang w:val="en-US"/>
        </w:rPr>
        <w:t>公务用车购置及运行维护费支出；公务接待费支出决算为0.</w:t>
      </w:r>
      <w:r>
        <w:rPr>
          <w:rFonts w:hint="eastAsia" w:ascii="Times New Roman" w:hAnsi="Times New Roman" w:eastAsia="仿宋_GB2312" w:cs="仿宋_GB2312"/>
          <w:color w:val="000000"/>
          <w:spacing w:val="0"/>
          <w:sz w:val="32"/>
          <w:szCs w:val="32"/>
          <w:highlight w:val="none"/>
          <w:lang w:val="en-US" w:eastAsia="zh-CN"/>
        </w:rPr>
        <w:t>9</w:t>
      </w:r>
      <w:r>
        <w:rPr>
          <w:rFonts w:hint="eastAsia" w:ascii="Times New Roman" w:hAnsi="Times New Roman" w:eastAsia="仿宋_GB2312" w:cs="仿宋_GB2312"/>
          <w:color w:val="000000"/>
          <w:spacing w:val="0"/>
          <w:sz w:val="32"/>
          <w:szCs w:val="32"/>
          <w:highlight w:val="none"/>
          <w:lang w:val="en-US"/>
        </w:rPr>
        <w:t>万元，占100%，与2019年度相比，</w:t>
      </w:r>
      <w:r>
        <w:rPr>
          <w:rFonts w:hint="eastAsia" w:ascii="Times New Roman" w:hAnsi="Times New Roman" w:eastAsia="仿宋_GB2312" w:cs="仿宋_GB2312"/>
          <w:color w:val="000000"/>
          <w:spacing w:val="0"/>
          <w:sz w:val="32"/>
          <w:szCs w:val="32"/>
          <w:highlight w:val="none"/>
          <w:lang w:val="en-US" w:eastAsia="zh-CN"/>
        </w:rPr>
        <w:t>增加0.19</w:t>
      </w:r>
      <w:r>
        <w:rPr>
          <w:rFonts w:hint="eastAsia" w:ascii="Times New Roman" w:hAnsi="Times New Roman" w:eastAsia="仿宋_GB2312" w:cs="仿宋_GB2312"/>
          <w:color w:val="000000"/>
          <w:spacing w:val="0"/>
          <w:sz w:val="32"/>
          <w:szCs w:val="32"/>
          <w:highlight w:val="none"/>
          <w:lang w:val="en-US"/>
        </w:rPr>
        <w:t>万元，</w:t>
      </w:r>
      <w:r>
        <w:rPr>
          <w:rFonts w:hint="eastAsia" w:ascii="Times New Roman" w:hAnsi="Times New Roman" w:eastAsia="仿宋_GB2312" w:cs="仿宋_GB2312"/>
          <w:color w:val="000000"/>
          <w:spacing w:val="0"/>
          <w:sz w:val="32"/>
          <w:szCs w:val="32"/>
          <w:highlight w:val="none"/>
          <w:lang w:val="en-US" w:eastAsia="zh-CN"/>
        </w:rPr>
        <w:t>提高26.19</w:t>
      </w:r>
      <w:r>
        <w:rPr>
          <w:rFonts w:hint="eastAsia" w:ascii="Times New Roman" w:hAnsi="Times New Roman" w:eastAsia="仿宋_GB2312" w:cs="仿宋_GB2312"/>
          <w:color w:val="000000"/>
          <w:spacing w:val="0"/>
          <w:sz w:val="32"/>
          <w:szCs w:val="32"/>
          <w:highlight w:val="none"/>
          <w:lang w:val="en-US"/>
        </w:rPr>
        <w:t>%，主要原因是</w:t>
      </w:r>
      <w:r>
        <w:rPr>
          <w:rFonts w:hint="eastAsia" w:ascii="Times New Roman" w:hAnsi="Times New Roman" w:eastAsia="仿宋_GB2312" w:cs="仿宋_GB2312"/>
          <w:color w:val="000000"/>
          <w:spacing w:val="0"/>
          <w:sz w:val="32"/>
          <w:szCs w:val="32"/>
          <w:highlight w:val="none"/>
          <w:lang w:val="en-US" w:eastAsia="zh-CN"/>
        </w:rPr>
        <w:t>单位业务往来增加</w:t>
      </w:r>
      <w:r>
        <w:rPr>
          <w:rFonts w:hint="eastAsia" w:ascii="Times New Roman" w:hAnsi="Times New Roman" w:eastAsia="仿宋_GB2312" w:cs="仿宋_GB2312"/>
          <w:color w:val="000000"/>
          <w:spacing w:val="0"/>
          <w:sz w:val="32"/>
          <w:szCs w:val="32"/>
          <w:highlight w:val="none"/>
          <w:lang w:val="en-US"/>
        </w:rPr>
        <w:t>。具体情况如下：</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（1）因公出国（境）费</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预算数为</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万元，支出决算为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万元。完成预算的</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%。主要用于机关及下属预算单位人员的公务出国（境）的住宿费、国际旅费、培训费、公杂费等支出。决算数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_GB2312" w:cs="仿宋_GB2312"/>
          <w:color w:val="000000"/>
          <w:spacing w:val="0"/>
          <w:sz w:val="32"/>
          <w:szCs w:val="32"/>
          <w:highlight w:val="none"/>
          <w:lang w:val="en-US" w:eastAsia="zh-CN"/>
        </w:rPr>
        <w:t>2020年无</w:t>
      </w:r>
      <w:r>
        <w:rPr>
          <w:rFonts w:hint="eastAsia" w:ascii="Times New Roman" w:hAnsi="Times New Roman" w:eastAsia="仿宋_GB2312" w:cs="仿宋_GB2312"/>
          <w:color w:val="000000"/>
          <w:spacing w:val="0"/>
          <w:sz w:val="32"/>
          <w:szCs w:val="32"/>
          <w:highlight w:val="none"/>
          <w:lang w:val="en-US"/>
        </w:rPr>
        <w:t>因公出国（境）</w:t>
      </w:r>
      <w:r>
        <w:rPr>
          <w:rFonts w:hint="eastAsia" w:ascii="Times New Roman" w:hAnsi="Times New Roman" w:eastAsia="仿宋_GB2312" w:cs="仿宋_GB2312"/>
          <w:color w:val="000000"/>
          <w:spacing w:val="0"/>
          <w:sz w:val="32"/>
          <w:szCs w:val="32"/>
          <w:highlight w:val="none"/>
          <w:lang w:val="en-US" w:eastAsia="zh-CN"/>
        </w:rPr>
        <w:t>安排</w:t>
      </w:r>
      <w:r>
        <w:rPr>
          <w:rFonts w:hint="eastAsia" w:ascii="Times New Roman" w:hAnsi="Times New Roman" w:eastAsia="仿宋_GB2312" w:cs="仿宋_GB2312"/>
          <w:color w:val="000000"/>
          <w:spacing w:val="0"/>
          <w:sz w:val="32"/>
          <w:szCs w:val="32"/>
          <w:highlight w:val="none"/>
          <w:lang w:val="en-US"/>
        </w:rPr>
        <w:t>。全年使用一般公共预算财政拨款支出涉及因公出国(境)团组0个；累计</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人次。</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（2）公务用车购置及运行维护费</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预算数为</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万元，支出决算为0万元，完成预算的</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_GB2312" w:cs="仿宋_GB2312"/>
          <w:color w:val="000000"/>
          <w:spacing w:val="0"/>
          <w:sz w:val="32"/>
          <w:szCs w:val="32"/>
          <w:highlight w:val="none"/>
          <w:lang w:val="en-US" w:eastAsia="zh-CN"/>
        </w:rPr>
        <w:t>2020年无</w:t>
      </w:r>
      <w:r>
        <w:rPr>
          <w:rFonts w:hint="eastAsia" w:ascii="Times New Roman" w:hAnsi="Times New Roman" w:eastAsia="仿宋_GB2312" w:cs="仿宋_GB2312"/>
          <w:color w:val="000000"/>
          <w:spacing w:val="0"/>
          <w:sz w:val="32"/>
          <w:szCs w:val="32"/>
          <w:highlight w:val="none"/>
          <w:lang w:val="en-US"/>
        </w:rPr>
        <w:t>公务用车购置及运行维护费支出。</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公务用车购置</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预算数为</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万元，支出决算为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万元（含购置税等附加费用），完成预算的</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_GB2312" w:cs="仿宋_GB2312"/>
          <w:color w:val="000000"/>
          <w:spacing w:val="0"/>
          <w:sz w:val="32"/>
          <w:szCs w:val="32"/>
          <w:highlight w:val="none"/>
          <w:lang w:val="en-US" w:eastAsia="zh-CN"/>
        </w:rPr>
        <w:t>2020年无公务用车购置</w:t>
      </w:r>
      <w:r>
        <w:rPr>
          <w:rFonts w:hint="eastAsia" w:ascii="Times New Roman" w:hAnsi="Times New Roman" w:eastAsia="仿宋_GB2312" w:cs="仿宋_GB2312"/>
          <w:color w:val="000000"/>
          <w:spacing w:val="0"/>
          <w:sz w:val="32"/>
          <w:szCs w:val="32"/>
          <w:highlight w:val="none"/>
          <w:lang w:val="en-US"/>
        </w:rPr>
        <w:t>。主要用于经批准购置的</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辆公务用车；</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公务用车运行维护费</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预算数为</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万元，支出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万元，完成预算的</w:t>
      </w:r>
      <w:r>
        <w:rPr>
          <w:rFonts w:hint="eastAsia" w:ascii="Times New Roman" w:hAnsi="Times New Roman" w:eastAsia="仿宋_GB2312" w:cs="仿宋_GB2312"/>
          <w:color w:val="000000"/>
          <w:spacing w:val="0"/>
          <w:sz w:val="32"/>
          <w:szCs w:val="32"/>
          <w:highlight w:val="none"/>
          <w:lang w:val="en-US" w:eastAsia="zh-CN"/>
        </w:rPr>
        <w:t>0</w:t>
      </w:r>
      <w:r>
        <w:rPr>
          <w:rFonts w:hint="eastAsia" w:ascii="Times New Roman" w:hAnsi="Times New Roman" w:eastAsia="仿宋_GB2312" w:cs="仿宋_GB2312"/>
          <w:color w:val="000000"/>
          <w:spacing w:val="0"/>
          <w:sz w:val="32"/>
          <w:szCs w:val="32"/>
          <w:highlight w:val="none"/>
          <w:lang w:val="en-US"/>
        </w:rPr>
        <w:t>%。决算数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_GB2312" w:cs="仿宋_GB2312"/>
          <w:color w:val="000000"/>
          <w:spacing w:val="0"/>
          <w:sz w:val="32"/>
          <w:szCs w:val="32"/>
          <w:highlight w:val="none"/>
          <w:lang w:val="en-US" w:eastAsia="zh-CN"/>
        </w:rPr>
        <w:t>2020年无</w:t>
      </w:r>
      <w:r>
        <w:rPr>
          <w:rFonts w:hint="eastAsia" w:ascii="Times New Roman" w:hAnsi="Times New Roman" w:eastAsia="仿宋_GB2312" w:cs="仿宋_GB2312"/>
          <w:color w:val="000000"/>
          <w:spacing w:val="0"/>
          <w:sz w:val="32"/>
          <w:szCs w:val="32"/>
          <w:highlight w:val="none"/>
          <w:lang w:val="en-US"/>
        </w:rPr>
        <w:t>公务用车运行维护费。主要用于公务用车燃料费、维修费、过路过桥费、保险费、安全奖励费用等支出；2020年度，本级及所属单位开支一般公共预算财政拨款的公务用车保有量为</w:t>
      </w:r>
      <w:r>
        <w:rPr>
          <w:rFonts w:hint="eastAsia" w:ascii="Times New Roman" w:hAnsi="Times New Roman" w:eastAsia="仿宋_GB2312" w:cs="仿宋_GB2312"/>
          <w:color w:val="auto"/>
          <w:spacing w:val="0"/>
          <w:sz w:val="32"/>
          <w:szCs w:val="32"/>
          <w:highlight w:val="none"/>
          <w:lang w:val="zh-CN"/>
        </w:rPr>
        <w:t>0</w:t>
      </w:r>
      <w:r>
        <w:rPr>
          <w:rFonts w:hint="eastAsia" w:ascii="Times New Roman" w:hAnsi="Times New Roman" w:eastAsia="仿宋_GB2312" w:cs="仿宋_GB2312"/>
          <w:color w:val="000000"/>
          <w:spacing w:val="0"/>
          <w:sz w:val="32"/>
          <w:szCs w:val="32"/>
          <w:highlight w:val="none"/>
          <w:lang w:val="en-US"/>
        </w:rPr>
        <w:t>辆。</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（3）公务接待费</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预算数为</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0.9</w:t>
      </w:r>
      <w:r>
        <w:rPr>
          <w:rFonts w:hint="eastAsia" w:ascii="Times New Roman" w:hAnsi="Times New Roman" w:eastAsia="仿宋_GB2312" w:cs="仿宋_GB2312"/>
          <w:color w:val="000000" w:themeColor="text1"/>
          <w:spacing w:val="0"/>
          <w:sz w:val="32"/>
          <w:szCs w:val="32"/>
          <w:highlight w:val="none"/>
          <w:lang w:val="en-US"/>
          <w14:textFill>
            <w14:solidFill>
              <w14:schemeClr w14:val="tx1"/>
            </w14:solidFill>
          </w14:textFill>
        </w:rPr>
        <w:t>万</w:t>
      </w:r>
      <w:r>
        <w:rPr>
          <w:rFonts w:hint="eastAsia" w:ascii="Times New Roman" w:hAnsi="Times New Roman" w:eastAsia="仿宋_GB2312" w:cs="仿宋_GB2312"/>
          <w:color w:val="000000"/>
          <w:spacing w:val="0"/>
          <w:sz w:val="32"/>
          <w:szCs w:val="32"/>
          <w:highlight w:val="none"/>
          <w:lang w:val="en-US"/>
        </w:rPr>
        <w:t>元，支出决算为0.9万元，完成预算的</w:t>
      </w:r>
      <w:r>
        <w:rPr>
          <w:rFonts w:hint="eastAsia" w:ascii="Times New Roman" w:hAnsi="Times New Roman" w:eastAsia="仿宋_GB2312" w:cs="仿宋_GB2312"/>
          <w:color w:val="000000" w:themeColor="text1"/>
          <w:spacing w:val="0"/>
          <w:sz w:val="32"/>
          <w:szCs w:val="32"/>
          <w:highlight w:val="none"/>
          <w:lang w:val="en-US" w:eastAsia="zh-CN"/>
          <w14:textFill>
            <w14:solidFill>
              <w14:schemeClr w14:val="tx1"/>
            </w14:solidFill>
          </w14:textFill>
        </w:rPr>
        <w:t>100</w:t>
      </w:r>
      <w:r>
        <w:rPr>
          <w:rFonts w:hint="eastAsia" w:ascii="Times New Roman" w:hAnsi="Times New Roman" w:eastAsia="仿宋_GB2312" w:cs="仿宋_GB2312"/>
          <w:color w:val="000000"/>
          <w:spacing w:val="0"/>
          <w:sz w:val="32"/>
          <w:szCs w:val="32"/>
          <w:highlight w:val="none"/>
          <w:lang w:val="en-US"/>
        </w:rPr>
        <w:t>%。主要用于接待</w:t>
      </w:r>
      <w:r>
        <w:rPr>
          <w:rFonts w:hint="eastAsia" w:ascii="Times New Roman" w:hAnsi="Times New Roman" w:eastAsia="仿宋_GB2312" w:cs="仿宋_GB2312"/>
          <w:color w:val="000000"/>
          <w:spacing w:val="0"/>
          <w:sz w:val="32"/>
          <w:szCs w:val="32"/>
          <w:highlight w:val="none"/>
          <w:lang w:val="en-US" w:eastAsia="zh-CN"/>
        </w:rPr>
        <w:t>上级和各县市等有关单位</w:t>
      </w:r>
      <w:r>
        <w:rPr>
          <w:rFonts w:hint="eastAsia" w:ascii="Times New Roman" w:hAnsi="Times New Roman" w:eastAsia="仿宋_GB2312" w:cs="仿宋_GB2312"/>
          <w:color w:val="000000"/>
          <w:spacing w:val="0"/>
          <w:sz w:val="32"/>
          <w:szCs w:val="32"/>
          <w:highlight w:val="none"/>
          <w:lang w:val="en-US"/>
        </w:rPr>
        <w:t>等支出。决算数</w:t>
      </w:r>
      <w:r>
        <w:rPr>
          <w:rFonts w:hint="eastAsia" w:ascii="Times New Roman" w:hAnsi="Times New Roman" w:eastAsia="仿宋_GB2312" w:cs="仿宋_GB2312"/>
          <w:color w:val="000000"/>
          <w:spacing w:val="0"/>
          <w:sz w:val="32"/>
          <w:szCs w:val="32"/>
          <w:highlight w:val="none"/>
          <w:lang w:val="en-US" w:eastAsia="zh-CN"/>
        </w:rPr>
        <w:t>等于</w:t>
      </w:r>
      <w:r>
        <w:rPr>
          <w:rFonts w:hint="eastAsia" w:ascii="Times New Roman" w:hAnsi="Times New Roman" w:eastAsia="仿宋_GB2312" w:cs="仿宋_GB2312"/>
          <w:color w:val="000000"/>
          <w:spacing w:val="0"/>
          <w:sz w:val="32"/>
          <w:szCs w:val="32"/>
          <w:highlight w:val="none"/>
          <w:lang w:val="en-US"/>
        </w:rPr>
        <w:t>预算数的主要原因是</w:t>
      </w:r>
      <w:r>
        <w:rPr>
          <w:rFonts w:hint="eastAsia" w:ascii="Times New Roman" w:hAnsi="Times New Roman" w:eastAsia="仿宋"/>
          <w:color w:val="000000" w:themeColor="text1"/>
          <w:sz w:val="32"/>
          <w:highlight w:val="white"/>
          <w:lang w:val="en-US" w:eastAsia="zh-CN"/>
          <w14:textFill>
            <w14:solidFill>
              <w14:schemeClr w14:val="tx1"/>
            </w14:solidFill>
          </w14:textFill>
        </w:rPr>
        <w:t>严格按照年初安排的预算支出</w:t>
      </w:r>
      <w:r>
        <w:rPr>
          <w:rFonts w:hint="eastAsia" w:ascii="Times New Roman" w:hAnsi="Times New Roman" w:eastAsia="仿宋_GB2312" w:cs="仿宋_GB2312"/>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全年使用一般公共预算财政拨款国内公务接待16团组，累计83人次。</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外宾接待</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支出0万元，主要用于</w:t>
      </w:r>
      <w:r>
        <w:rPr>
          <w:rFonts w:hint="eastAsia" w:ascii="Times New Roman" w:hAnsi="Times New Roman" w:eastAsia="仿宋_GB2312" w:cs="仿宋_GB2312"/>
          <w:color w:val="000000"/>
          <w:spacing w:val="0"/>
          <w:sz w:val="32"/>
          <w:szCs w:val="32"/>
          <w:highlight w:val="none"/>
          <w:lang w:val="en-US" w:eastAsia="zh-CN"/>
        </w:rPr>
        <w:t>外宾</w:t>
      </w:r>
      <w:r>
        <w:rPr>
          <w:rFonts w:hint="eastAsia" w:ascii="Times New Roman" w:hAnsi="Times New Roman" w:eastAsia="仿宋_GB2312" w:cs="仿宋_GB2312"/>
          <w:color w:val="000000"/>
          <w:spacing w:val="0"/>
          <w:sz w:val="32"/>
          <w:szCs w:val="32"/>
          <w:highlight w:val="none"/>
          <w:lang w:val="en-US"/>
        </w:rPr>
        <w:t>接待0团组，0人次。</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b/>
          <w:color w:val="000000"/>
          <w:spacing w:val="0"/>
          <w:sz w:val="32"/>
          <w:szCs w:val="32"/>
          <w:highlight w:val="none"/>
          <w:lang w:val="en-US"/>
        </w:rPr>
        <w:t>其他国内公务接待</w:t>
      </w:r>
      <w:r>
        <w:rPr>
          <w:rFonts w:hint="eastAsia" w:ascii="Times New Roman" w:hAnsi="Times New Roman" w:eastAsia="仿宋_GB2312" w:cs="仿宋_GB2312"/>
          <w:b/>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支出0.9万元，主要用于接待上级和各县市等有关单位等</w:t>
      </w:r>
      <w:r>
        <w:rPr>
          <w:rFonts w:hint="eastAsia" w:ascii="Times New Roman" w:hAnsi="Times New Roman" w:eastAsia="仿宋_GB2312" w:cs="仿宋_GB2312"/>
          <w:color w:val="000000"/>
          <w:spacing w:val="0"/>
          <w:sz w:val="32"/>
          <w:szCs w:val="32"/>
          <w:highlight w:val="none"/>
          <w:lang w:val="en-US" w:eastAsia="zh-CN"/>
        </w:rPr>
        <w:t>，</w:t>
      </w:r>
      <w:r>
        <w:rPr>
          <w:rFonts w:hint="eastAsia" w:ascii="Times New Roman" w:hAnsi="Times New Roman" w:eastAsia="仿宋_GB2312" w:cs="仿宋_GB2312"/>
          <w:color w:val="000000"/>
          <w:spacing w:val="0"/>
          <w:sz w:val="32"/>
          <w:szCs w:val="32"/>
          <w:highlight w:val="none"/>
          <w:lang w:val="en-US"/>
        </w:rPr>
        <w:t>接待16团组，83人次。</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（十）机关运行经费支出说明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eastAsia="zh-CN"/>
        </w:rPr>
      </w:pPr>
      <w:r>
        <w:rPr>
          <w:rFonts w:hint="eastAsia" w:ascii="Times New Roman" w:hAnsi="Times New Roman" w:eastAsia="仿宋_GB2312" w:cs="仿宋_GB2312"/>
          <w:color w:val="000000"/>
          <w:spacing w:val="0"/>
          <w:sz w:val="32"/>
          <w:highlight w:val="none"/>
          <w:lang w:val="en-US"/>
        </w:rPr>
        <w:t>2020年度机关运行经费年初预算数为</w:t>
      </w:r>
      <w:r>
        <w:rPr>
          <w:rFonts w:hint="eastAsia" w:ascii="Times New Roman" w:hAnsi="Times New Roman" w:eastAsia="仿宋_GB2312" w:cs="仿宋_GB2312"/>
          <w:color w:val="000000"/>
          <w:spacing w:val="0"/>
          <w:sz w:val="32"/>
          <w:highlight w:val="none"/>
          <w:lang w:val="en-US" w:eastAsia="zh-CN"/>
        </w:rPr>
        <w:t>0</w:t>
      </w:r>
      <w:r>
        <w:rPr>
          <w:rFonts w:hint="eastAsia" w:ascii="Times New Roman" w:hAnsi="Times New Roman" w:eastAsia="仿宋_GB2312" w:cs="仿宋_GB2312"/>
          <w:color w:val="000000"/>
          <w:spacing w:val="0"/>
          <w:sz w:val="32"/>
          <w:highlight w:val="none"/>
          <w:lang w:val="en-US"/>
        </w:rPr>
        <w:t>万元，支出决算为0万元，完成年初预算的</w:t>
      </w:r>
      <w:r>
        <w:rPr>
          <w:rFonts w:hint="eastAsia" w:ascii="Times New Roman" w:hAnsi="Times New Roman" w:eastAsia="仿宋_GB2312" w:cs="仿宋_GB2312"/>
          <w:color w:val="000000"/>
          <w:spacing w:val="0"/>
          <w:sz w:val="32"/>
          <w:highlight w:val="none"/>
          <w:lang w:val="en-US" w:eastAsia="zh-CN"/>
        </w:rPr>
        <w:t>0</w:t>
      </w:r>
      <w:r>
        <w:rPr>
          <w:rFonts w:hint="eastAsia" w:ascii="Times New Roman" w:hAnsi="Times New Roman" w:eastAsia="仿宋_GB2312" w:cs="仿宋_GB2312"/>
          <w:color w:val="000000"/>
          <w:spacing w:val="0"/>
          <w:sz w:val="32"/>
          <w:highlight w:val="none"/>
          <w:lang w:val="en-US"/>
        </w:rPr>
        <w:t>%，决算数</w:t>
      </w:r>
      <w:r>
        <w:rPr>
          <w:rFonts w:hint="eastAsia" w:ascii="Times New Roman" w:hAnsi="Times New Roman" w:eastAsia="仿宋_GB2312" w:cs="仿宋_GB2312"/>
          <w:color w:val="000000"/>
          <w:spacing w:val="0"/>
          <w:sz w:val="32"/>
          <w:highlight w:val="none"/>
          <w:lang w:val="en-US" w:eastAsia="zh-CN"/>
        </w:rPr>
        <w:t>等于</w:t>
      </w:r>
      <w:r>
        <w:rPr>
          <w:rFonts w:hint="eastAsia" w:ascii="Times New Roman" w:hAnsi="Times New Roman" w:eastAsia="仿宋_GB2312" w:cs="仿宋_GB2312"/>
          <w:color w:val="000000"/>
          <w:spacing w:val="0"/>
          <w:sz w:val="32"/>
          <w:highlight w:val="none"/>
          <w:lang w:val="en-US"/>
        </w:rPr>
        <w:t>预算数的主要原因</w:t>
      </w:r>
      <w:r>
        <w:rPr>
          <w:rFonts w:hint="eastAsia" w:ascii="Times New Roman" w:hAnsi="Times New Roman" w:eastAsia="仿宋_GB2312" w:cs="仿宋_GB2312"/>
          <w:color w:val="000000"/>
          <w:spacing w:val="0"/>
          <w:sz w:val="32"/>
          <w:highlight w:val="none"/>
          <w:lang w:val="en-US" w:eastAsia="zh-CN"/>
        </w:rPr>
        <w:t>是事业单位无此项经费，与</w:t>
      </w:r>
      <w:r>
        <w:rPr>
          <w:rFonts w:hint="eastAsia" w:ascii="Times New Roman" w:hAnsi="Times New Roman" w:eastAsia="仿宋_GB2312" w:cs="仿宋_GB2312"/>
          <w:color w:val="000000"/>
          <w:spacing w:val="0"/>
          <w:sz w:val="32"/>
          <w:highlight w:val="none"/>
          <w:lang w:val="en-US"/>
        </w:rPr>
        <w:t>2019年度相比</w:t>
      </w:r>
      <w:r>
        <w:rPr>
          <w:rFonts w:hint="eastAsia" w:ascii="Times New Roman" w:hAnsi="Times New Roman" w:eastAsia="仿宋_GB2312" w:cs="仿宋_GB2312"/>
          <w:color w:val="000000"/>
          <w:spacing w:val="0"/>
          <w:sz w:val="32"/>
          <w:highlight w:val="none"/>
          <w:lang w:val="en-US" w:eastAsia="zh-CN"/>
        </w:rPr>
        <w:t>持平，</w:t>
      </w:r>
      <w:r>
        <w:rPr>
          <w:rFonts w:hint="eastAsia" w:ascii="Times New Roman" w:hAnsi="Times New Roman" w:eastAsia="仿宋_GB2312" w:cs="仿宋_GB2312"/>
          <w:color w:val="000000"/>
          <w:spacing w:val="0"/>
          <w:sz w:val="32"/>
          <w:highlight w:val="none"/>
          <w:lang w:val="en-US"/>
        </w:rPr>
        <w:t>主要原因</w:t>
      </w:r>
      <w:r>
        <w:rPr>
          <w:rFonts w:hint="eastAsia" w:ascii="Times New Roman" w:hAnsi="Times New Roman" w:eastAsia="仿宋_GB2312" w:cs="仿宋_GB2312"/>
          <w:color w:val="000000"/>
          <w:spacing w:val="0"/>
          <w:sz w:val="32"/>
          <w:highlight w:val="none"/>
          <w:lang w:val="en-US" w:eastAsia="zh-CN"/>
        </w:rPr>
        <w:t>是事业单位无机关运行经费。</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（十一）政府采购支出说明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auto"/>
          <w:spacing w:val="0"/>
          <w:sz w:val="32"/>
          <w:highlight w:val="none"/>
          <w:lang w:val="en-US"/>
        </w:rPr>
      </w:pPr>
      <w:r>
        <w:rPr>
          <w:rFonts w:hint="eastAsia" w:ascii="Times New Roman" w:hAnsi="Times New Roman" w:eastAsia="仿宋_GB2312" w:cs="仿宋_GB2312"/>
          <w:color w:val="000000"/>
          <w:spacing w:val="0"/>
          <w:sz w:val="32"/>
          <w:highlight w:val="none"/>
          <w:lang w:val="en-US"/>
        </w:rPr>
        <w:t>2020年度政府采购支出总额</w:t>
      </w:r>
      <w:r>
        <w:rPr>
          <w:rFonts w:hint="eastAsia" w:ascii="Times New Roman" w:hAnsi="Times New Roman" w:eastAsia="仿宋_GB2312" w:cs="仿宋_GB2312"/>
          <w:color w:val="auto"/>
          <w:spacing w:val="0"/>
          <w:kern w:val="0"/>
          <w:sz w:val="32"/>
          <w:highlight w:val="none"/>
          <w:lang w:val="en-US"/>
        </w:rPr>
        <w:t>51.94</w:t>
      </w:r>
      <w:r>
        <w:rPr>
          <w:rFonts w:hint="eastAsia" w:ascii="Times New Roman" w:hAnsi="Times New Roman" w:eastAsia="仿宋_GB2312" w:cs="仿宋_GB2312"/>
          <w:color w:val="000000"/>
          <w:spacing w:val="0"/>
          <w:sz w:val="32"/>
          <w:highlight w:val="none"/>
          <w:lang w:val="en-US"/>
        </w:rPr>
        <w:t>万元，其中：政府采购货物支出</w:t>
      </w:r>
      <w:r>
        <w:rPr>
          <w:rFonts w:hint="eastAsia" w:ascii="Times New Roman" w:hAnsi="Times New Roman" w:eastAsia="仿宋_GB2312" w:cs="仿宋_GB2312"/>
          <w:color w:val="auto"/>
          <w:spacing w:val="0"/>
          <w:kern w:val="0"/>
          <w:sz w:val="32"/>
          <w:highlight w:val="none"/>
          <w:lang w:val="en-US"/>
        </w:rPr>
        <w:t>31.94</w:t>
      </w:r>
      <w:r>
        <w:rPr>
          <w:rFonts w:hint="eastAsia" w:ascii="Times New Roman" w:hAnsi="Times New Roman" w:eastAsia="仿宋_GB2312" w:cs="仿宋_GB2312"/>
          <w:color w:val="000000"/>
          <w:spacing w:val="0"/>
          <w:sz w:val="32"/>
          <w:highlight w:val="none"/>
          <w:lang w:val="en-US"/>
        </w:rPr>
        <w:t>万元、政府采购工程支出</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万元、政府采购服务支出</w:t>
      </w:r>
      <w:r>
        <w:rPr>
          <w:rFonts w:hint="eastAsia" w:ascii="Times New Roman" w:hAnsi="Times New Roman" w:eastAsia="仿宋_GB2312" w:cs="仿宋_GB2312"/>
          <w:color w:val="auto"/>
          <w:spacing w:val="0"/>
          <w:kern w:val="0"/>
          <w:sz w:val="32"/>
          <w:highlight w:val="none"/>
          <w:lang w:val="en-US"/>
        </w:rPr>
        <w:t>20</w:t>
      </w:r>
      <w:r>
        <w:rPr>
          <w:rFonts w:hint="eastAsia" w:ascii="Times New Roman" w:hAnsi="Times New Roman" w:eastAsia="仿宋_GB2312" w:cs="仿宋_GB2312"/>
          <w:color w:val="000000"/>
          <w:spacing w:val="0"/>
          <w:sz w:val="32"/>
          <w:highlight w:val="none"/>
          <w:lang w:val="en-US"/>
        </w:rPr>
        <w:t>万元。</w:t>
      </w:r>
      <w:r>
        <w:rPr>
          <w:rFonts w:hint="eastAsia" w:ascii="Times New Roman" w:hAnsi="Times New Roman" w:eastAsia="仿宋_GB2312" w:cs="仿宋_GB2312"/>
          <w:color w:val="auto"/>
          <w:spacing w:val="0"/>
          <w:sz w:val="32"/>
          <w:highlight w:val="none"/>
          <w:lang w:val="en-US"/>
        </w:rPr>
        <w:t>授予中小企业合同金额</w:t>
      </w:r>
      <w:r>
        <w:rPr>
          <w:rFonts w:hint="eastAsia" w:ascii="Times New Roman" w:hAnsi="Times New Roman" w:eastAsia="仿宋_GB2312" w:cs="仿宋_GB2312"/>
          <w:color w:val="auto"/>
          <w:spacing w:val="0"/>
          <w:kern w:val="0"/>
          <w:sz w:val="32"/>
          <w:highlight w:val="none"/>
          <w:lang w:val="en-US"/>
        </w:rPr>
        <w:t>51.94</w:t>
      </w:r>
      <w:r>
        <w:rPr>
          <w:rFonts w:hint="eastAsia" w:ascii="Times New Roman" w:hAnsi="Times New Roman" w:eastAsia="仿宋_GB2312" w:cs="仿宋_GB2312"/>
          <w:color w:val="auto"/>
          <w:spacing w:val="0"/>
          <w:sz w:val="32"/>
          <w:highlight w:val="none"/>
          <w:lang w:val="en-US"/>
        </w:rPr>
        <w:t>万元，占政府采购支出总额的</w:t>
      </w:r>
      <w:r>
        <w:rPr>
          <w:rFonts w:hint="eastAsia" w:ascii="Times New Roman" w:hAnsi="Times New Roman" w:eastAsia="仿宋_GB2312" w:cs="仿宋_GB2312"/>
          <w:color w:val="auto"/>
          <w:spacing w:val="0"/>
          <w:kern w:val="0"/>
          <w:sz w:val="32"/>
          <w:highlight w:val="none"/>
          <w:lang w:val="en-US"/>
        </w:rPr>
        <w:t>100</w:t>
      </w:r>
      <w:r>
        <w:rPr>
          <w:rFonts w:hint="eastAsia" w:ascii="Times New Roman" w:hAnsi="Times New Roman" w:eastAsia="仿宋_GB2312" w:cs="仿宋_GB2312"/>
          <w:color w:val="auto"/>
          <w:spacing w:val="0"/>
          <w:sz w:val="32"/>
          <w:highlight w:val="none"/>
          <w:lang w:val="en-US"/>
        </w:rPr>
        <w:t>%。</w:t>
      </w:r>
      <w:r>
        <w:rPr>
          <w:rFonts w:hint="eastAsia" w:ascii="Times New Roman" w:hAnsi="Times New Roman" w:eastAsia="仿宋_GB2312" w:cs="仿宋_GB2312"/>
          <w:color w:val="000000"/>
          <w:spacing w:val="0"/>
          <w:sz w:val="32"/>
          <w:highlight w:val="none"/>
          <w:lang w:val="en-US"/>
        </w:rPr>
        <w:t>其中，授予小微企业合同金额</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万元，占政府采购支出总额的</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auto"/>
          <w:spacing w:val="0"/>
          <w:sz w:val="32"/>
          <w:highlight w:val="none"/>
          <w:lang w:val="en-US"/>
        </w:rPr>
        <w:t>%。</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（十二）国有资产占有情况说明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截至2020年12月31日，</w:t>
      </w:r>
      <w:r>
        <w:rPr>
          <w:rFonts w:hint="eastAsia" w:ascii="Times New Roman" w:hAnsi="Times New Roman" w:eastAsia="仿宋_GB2312" w:cs="仿宋_GB2312"/>
          <w:color w:val="000000"/>
          <w:spacing w:val="0"/>
          <w:sz w:val="32"/>
          <w:highlight w:val="none"/>
          <w:lang w:val="en-US" w:eastAsia="zh-CN"/>
        </w:rPr>
        <w:t>金华市林业技术推广站</w:t>
      </w:r>
      <w:r>
        <w:rPr>
          <w:rFonts w:hint="eastAsia" w:ascii="Times New Roman" w:hAnsi="Times New Roman" w:eastAsia="仿宋_GB2312" w:cs="仿宋_GB2312"/>
          <w:color w:val="000000"/>
          <w:spacing w:val="0"/>
          <w:sz w:val="32"/>
          <w:highlight w:val="none"/>
          <w:lang w:val="en-US"/>
        </w:rPr>
        <w:t>共有车辆</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辆，其中，副部（省）级及以上领导用车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辆、主要领导干部用车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辆、机要通信用车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辆、应急保障用车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辆、执法执勤用车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辆、特种专业技术用车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辆、离退休干部用车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辆、其他用车</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辆；单价50万元以上通用设备</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台（套），单价100万元以上专用设备</w:t>
      </w:r>
      <w:r>
        <w:rPr>
          <w:rFonts w:hint="eastAsia" w:ascii="Times New Roman" w:hAnsi="Times New Roman" w:eastAsia="仿宋_GB2312" w:cs="仿宋_GB2312"/>
          <w:color w:val="auto"/>
          <w:spacing w:val="0"/>
          <w:kern w:val="0"/>
          <w:sz w:val="32"/>
          <w:highlight w:val="none"/>
          <w:lang w:val="en-US"/>
        </w:rPr>
        <w:t>0</w:t>
      </w:r>
      <w:r>
        <w:rPr>
          <w:rFonts w:hint="eastAsia" w:ascii="Times New Roman" w:hAnsi="Times New Roman" w:eastAsia="仿宋_GB2312" w:cs="仿宋_GB2312"/>
          <w:color w:val="000000"/>
          <w:spacing w:val="0"/>
          <w:sz w:val="32"/>
          <w:highlight w:val="none"/>
          <w:lang w:val="en-US"/>
        </w:rPr>
        <w:t xml:space="preserve">台（套）。 </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楷体_GB2312" w:cs="楷体_GB2312"/>
          <w:b w:val="0"/>
          <w:bCs/>
          <w:color w:val="000000"/>
          <w:spacing w:val="0"/>
          <w:sz w:val="32"/>
          <w:highlight w:val="none"/>
          <w:lang w:val="en-US"/>
        </w:rPr>
      </w:pPr>
      <w:r>
        <w:rPr>
          <w:rFonts w:hint="eastAsia" w:ascii="Times New Roman" w:hAnsi="Times New Roman" w:eastAsia="楷体_GB2312" w:cs="楷体_GB2312"/>
          <w:b w:val="0"/>
          <w:bCs/>
          <w:color w:val="000000"/>
          <w:spacing w:val="0"/>
          <w:sz w:val="32"/>
          <w:highlight w:val="none"/>
          <w:lang w:val="en-US"/>
        </w:rPr>
        <w:t>（十三）预算绩效情况说明</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1.预算绩效管理工作开展情况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highlight w:val="none"/>
          <w:lang w:val="en-US"/>
        </w:rPr>
      </w:pPr>
      <w:r>
        <w:rPr>
          <w:rFonts w:hint="eastAsia" w:ascii="Times New Roman" w:hAnsi="Times New Roman" w:eastAsia="仿宋_GB2312" w:cs="仿宋_GB2312"/>
          <w:color w:val="000000"/>
          <w:spacing w:val="0"/>
          <w:sz w:val="32"/>
          <w:highlight w:val="none"/>
          <w:lang w:val="en-US"/>
        </w:rPr>
        <w:t>根据预算绩效管理要求，</w:t>
      </w:r>
      <w:r>
        <w:rPr>
          <w:rFonts w:hint="eastAsia" w:ascii="Times New Roman" w:hAnsi="Times New Roman" w:eastAsia="仿宋_GB2312" w:cs="仿宋_GB2312"/>
          <w:bCs/>
          <w:color w:val="000000"/>
          <w:spacing w:val="0"/>
          <w:sz w:val="32"/>
          <w:szCs w:val="32"/>
          <w:highlight w:val="none"/>
        </w:rPr>
        <w:t>金华市林业</w:t>
      </w:r>
      <w:r>
        <w:rPr>
          <w:rFonts w:hint="eastAsia" w:ascii="Times New Roman" w:hAnsi="Times New Roman" w:eastAsia="仿宋_GB2312" w:cs="仿宋_GB2312"/>
          <w:bCs/>
          <w:color w:val="000000"/>
          <w:spacing w:val="0"/>
          <w:sz w:val="32"/>
          <w:szCs w:val="32"/>
          <w:highlight w:val="none"/>
          <w:lang w:eastAsia="zh-CN"/>
        </w:rPr>
        <w:t>技术推广</w:t>
      </w:r>
      <w:r>
        <w:rPr>
          <w:rFonts w:hint="eastAsia" w:ascii="Times New Roman" w:hAnsi="Times New Roman" w:eastAsia="仿宋_GB2312" w:cs="仿宋_GB2312"/>
          <w:bCs/>
          <w:color w:val="000000"/>
          <w:spacing w:val="0"/>
          <w:sz w:val="32"/>
          <w:szCs w:val="32"/>
          <w:highlight w:val="none"/>
        </w:rPr>
        <w:t>站</w:t>
      </w:r>
      <w:r>
        <w:rPr>
          <w:rFonts w:hint="eastAsia" w:ascii="Times New Roman" w:hAnsi="Times New Roman" w:eastAsia="仿宋_GB2312" w:cs="仿宋_GB2312"/>
          <w:color w:val="000000"/>
          <w:spacing w:val="0"/>
          <w:sz w:val="32"/>
          <w:highlight w:val="none"/>
          <w:lang w:val="en-US"/>
        </w:rPr>
        <w:t>对2020年度一般公共预算项目支出全面开展绩效自评，其中，一级项目</w:t>
      </w:r>
      <w:r>
        <w:rPr>
          <w:rFonts w:hint="eastAsia" w:ascii="Times New Roman" w:hAnsi="Times New Roman" w:eastAsia="仿宋_GB2312" w:cs="仿宋_GB2312"/>
          <w:color w:val="000000"/>
          <w:spacing w:val="0"/>
          <w:sz w:val="32"/>
          <w:highlight w:val="none"/>
          <w:lang w:val="en-US" w:eastAsia="zh-CN"/>
        </w:rPr>
        <w:t>1</w:t>
      </w:r>
      <w:r>
        <w:rPr>
          <w:rFonts w:hint="eastAsia" w:ascii="Times New Roman" w:hAnsi="Times New Roman" w:eastAsia="仿宋_GB2312" w:cs="仿宋_GB2312"/>
          <w:color w:val="000000"/>
          <w:spacing w:val="0"/>
          <w:sz w:val="32"/>
          <w:highlight w:val="none"/>
          <w:lang w:val="en-US"/>
        </w:rPr>
        <w:t>个，二级项目</w:t>
      </w:r>
      <w:r>
        <w:rPr>
          <w:rFonts w:hint="eastAsia" w:ascii="Times New Roman" w:hAnsi="Times New Roman" w:eastAsia="仿宋_GB2312" w:cs="仿宋_GB2312"/>
          <w:color w:val="000000"/>
          <w:spacing w:val="0"/>
          <w:sz w:val="32"/>
          <w:highlight w:val="none"/>
          <w:lang w:val="en-US" w:eastAsia="zh-CN"/>
        </w:rPr>
        <w:t>5</w:t>
      </w:r>
      <w:r>
        <w:rPr>
          <w:rFonts w:hint="eastAsia" w:ascii="Times New Roman" w:hAnsi="Times New Roman" w:eastAsia="仿宋_GB2312" w:cs="仿宋_GB2312"/>
          <w:color w:val="000000"/>
          <w:spacing w:val="0"/>
          <w:sz w:val="32"/>
          <w:highlight w:val="none"/>
          <w:lang w:val="en-US"/>
        </w:rPr>
        <w:t>个，共涉及资金</w:t>
      </w:r>
      <w:r>
        <w:rPr>
          <w:rFonts w:hint="eastAsia" w:ascii="Times New Roman" w:hAnsi="Times New Roman" w:eastAsia="仿宋_GB2312" w:cs="仿宋_GB2312"/>
          <w:color w:val="000000"/>
          <w:spacing w:val="0"/>
          <w:sz w:val="32"/>
          <w:highlight w:val="none"/>
          <w:lang w:val="en-US" w:eastAsia="zh-CN"/>
        </w:rPr>
        <w:t>138.65</w:t>
      </w:r>
      <w:r>
        <w:rPr>
          <w:rFonts w:hint="eastAsia" w:ascii="Times New Roman" w:hAnsi="Times New Roman" w:eastAsia="仿宋_GB2312" w:cs="仿宋_GB2312"/>
          <w:color w:val="000000"/>
          <w:spacing w:val="0"/>
          <w:sz w:val="32"/>
          <w:highlight w:val="none"/>
          <w:lang w:val="en-US"/>
        </w:rPr>
        <w:t>万元，占一般公共预算项目支出总额的</w:t>
      </w:r>
      <w:r>
        <w:rPr>
          <w:rFonts w:hint="eastAsia" w:ascii="Times New Roman" w:hAnsi="Times New Roman" w:eastAsia="仿宋_GB2312" w:cs="仿宋_GB2312"/>
          <w:color w:val="000000"/>
          <w:spacing w:val="0"/>
          <w:sz w:val="32"/>
          <w:highlight w:val="none"/>
          <w:lang w:val="en-US" w:eastAsia="zh-CN"/>
        </w:rPr>
        <w:t>100</w:t>
      </w:r>
      <w:r>
        <w:rPr>
          <w:rFonts w:hint="eastAsia" w:ascii="Times New Roman" w:hAnsi="Times New Roman" w:eastAsia="仿宋_GB2312" w:cs="仿宋_GB2312"/>
          <w:color w:val="000000"/>
          <w:spacing w:val="0"/>
          <w:sz w:val="32"/>
          <w:highlight w:val="none"/>
          <w:lang w:val="en-US"/>
        </w:rPr>
        <w:t>%。本年无政府性基金预算项目。</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val="0"/>
          <w:bCs/>
          <w:color w:val="000000"/>
          <w:spacing w:val="0"/>
          <w:sz w:val="32"/>
          <w:szCs w:val="24"/>
          <w:highlight w:val="none"/>
          <w:lang w:val="en-US"/>
        </w:rPr>
      </w:pPr>
      <w:r>
        <w:rPr>
          <w:rFonts w:hint="eastAsia" w:ascii="Times New Roman" w:hAnsi="Times New Roman" w:eastAsia="仿宋_GB2312" w:cs="仿宋_GB2312"/>
          <w:b w:val="0"/>
          <w:bCs/>
          <w:color w:val="000000"/>
          <w:spacing w:val="0"/>
          <w:sz w:val="32"/>
          <w:szCs w:val="24"/>
          <w:highlight w:val="none"/>
          <w:lang w:val="en-US"/>
        </w:rPr>
        <w:t>本年无部门评价。</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val="0"/>
          <w:bCs/>
          <w:color w:val="000000"/>
          <w:spacing w:val="0"/>
          <w:sz w:val="32"/>
          <w:szCs w:val="24"/>
          <w:highlight w:val="none"/>
          <w:lang w:val="en-US" w:eastAsia="zh-CN"/>
        </w:rPr>
      </w:pPr>
      <w:r>
        <w:rPr>
          <w:rFonts w:hint="eastAsia" w:ascii="Times New Roman" w:hAnsi="Times New Roman" w:eastAsia="仿宋_GB2312" w:cs="仿宋_GB2312"/>
          <w:b w:val="0"/>
          <w:bCs/>
          <w:color w:val="000000"/>
          <w:spacing w:val="0"/>
          <w:sz w:val="32"/>
          <w:szCs w:val="24"/>
          <w:highlight w:val="none"/>
          <w:lang w:val="en-US" w:eastAsia="zh-CN"/>
        </w:rPr>
        <w:t xml:space="preserve">本年无部门整体支出绩效评价。 </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val="0"/>
          <w:bCs/>
          <w:color w:val="000000"/>
          <w:spacing w:val="0"/>
          <w:sz w:val="32"/>
          <w:szCs w:val="24"/>
          <w:highlight w:val="none"/>
          <w:lang w:val="en-US"/>
        </w:rPr>
      </w:pPr>
      <w:r>
        <w:rPr>
          <w:rFonts w:hint="eastAsia" w:ascii="Times New Roman" w:hAnsi="Times New Roman" w:eastAsia="仿宋_GB2312" w:cs="仿宋_GB2312"/>
          <w:b w:val="0"/>
          <w:bCs/>
          <w:color w:val="000000"/>
          <w:spacing w:val="0"/>
          <w:sz w:val="32"/>
          <w:szCs w:val="24"/>
          <w:highlight w:val="none"/>
          <w:lang w:val="en-US"/>
        </w:rPr>
        <w:t>本年无下属部门或单位整体支出绩效评价。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eastAsia="zh-CN"/>
        </w:rPr>
        <w:t>2.</w:t>
      </w:r>
      <w:r>
        <w:rPr>
          <w:rFonts w:hint="eastAsia" w:ascii="Times New Roman" w:hAnsi="Times New Roman" w:eastAsia="仿宋_GB2312" w:cs="仿宋_GB2312"/>
          <w:b/>
          <w:color w:val="000000"/>
          <w:spacing w:val="0"/>
          <w:sz w:val="32"/>
          <w:highlight w:val="none"/>
          <w:lang w:val="en-US"/>
        </w:rPr>
        <w:t>单位决算中项目绩效自评结果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color w:val="000000"/>
          <w:spacing w:val="0"/>
          <w:sz w:val="32"/>
          <w:highlight w:val="none"/>
          <w:lang w:val="en-US" w:eastAsia="zh-CN"/>
        </w:rPr>
      </w:pPr>
      <w:r>
        <w:rPr>
          <w:rFonts w:hint="eastAsia" w:ascii="Times New Roman" w:hAnsi="Times New Roman" w:eastAsia="仿宋_GB2312" w:cs="仿宋_GB2312"/>
          <w:b w:val="0"/>
          <w:bCs/>
          <w:color w:val="000000"/>
          <w:spacing w:val="0"/>
          <w:sz w:val="32"/>
          <w:highlight w:val="none"/>
          <w:lang w:val="en-US" w:eastAsia="zh-CN"/>
        </w:rPr>
        <w:t>金华市林业技术推广站在2020年度单位决算中反映浙江优质杜鹃花繁育及栽培技术推广示范项目和食用林产品安全监管工作专项绩效自评结果。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color w:val="000000"/>
          <w:spacing w:val="0"/>
          <w:sz w:val="32"/>
          <w:highlight w:val="none"/>
          <w:lang w:val="en-US" w:eastAsia="zh-CN"/>
        </w:rPr>
      </w:pPr>
      <w:r>
        <w:rPr>
          <w:rFonts w:hint="eastAsia" w:ascii="Times New Roman" w:hAnsi="Times New Roman" w:eastAsia="仿宋_GB2312" w:cs="仿宋_GB2312"/>
          <w:b w:val="0"/>
          <w:bCs/>
          <w:color w:val="000000"/>
          <w:spacing w:val="0"/>
          <w:sz w:val="32"/>
          <w:highlight w:val="none"/>
          <w:lang w:val="en-US" w:eastAsia="zh-CN"/>
        </w:rPr>
        <w:t>浙江优质杜鹃花繁育及栽培技术推广示范项目绩效自评综述：根据年初设定的绩效目标，项目自评得分97分，自评结论为“优”。项目全年预算数为60.65万元，执行数为55.56万元，完成预算的91.6%。项目绩效目标完成情况：一是选用映山红、云锦杜鹃等优质杜鹃花8种，建立育苗基地3.2亩，繁育苗木12.6万株；二是选用刺毛杜鹃、鹿角杜鹃、映山红等优质杜鹃花，建设与美国薄壳山核桃套种的杜鹃花栽培示范基地56亩；三是举办培训班及技术讲座2期，培训技术人员及林农140人次。发现的问题及原因：一是执行率未达到100%，二是经济效益有待提高。原因是疫情影响，对县（市、区）业务指导、检查较少，推广力度不大。下一步改进措施：加强对县（市、区）业务指导、检查。</w:t>
      </w:r>
    </w:p>
    <w:p>
      <w:pPr>
        <w:widowControl/>
        <w:spacing w:line="560" w:lineRule="exact"/>
        <w:jc w:val="center"/>
        <w:rPr>
          <w:rFonts w:hint="default" w:ascii="Times New Roman" w:hAnsi="Times New Roman" w:eastAsia="方正小标宋简体" w:cs="Times New Roman"/>
          <w:bCs/>
          <w:kern w:val="0"/>
          <w:sz w:val="44"/>
          <w:szCs w:val="44"/>
        </w:rPr>
      </w:pPr>
    </w:p>
    <w:p>
      <w:pPr>
        <w:widowControl/>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金华市本级项目支出绩效自评表</w:t>
      </w:r>
    </w:p>
    <w:p>
      <w:pPr>
        <w:widowControl/>
        <w:spacing w:line="560" w:lineRule="exact"/>
        <w:jc w:val="center"/>
        <w:rPr>
          <w:rFonts w:hint="eastAsia" w:ascii="Times New Roman" w:hAnsi="Times New Roman" w:eastAsia="方正小标宋简体" w:cs="方正小标宋简体"/>
          <w:bCs/>
          <w:kern w:val="0"/>
          <w:sz w:val="40"/>
          <w:szCs w:val="40"/>
        </w:rPr>
      </w:pPr>
      <w:r>
        <w:rPr>
          <w:rFonts w:hint="eastAsia" w:ascii="Times New Roman" w:hAnsi="Times New Roman" w:eastAsia="方正小标宋简体" w:cs="方正小标宋简体"/>
          <w:bCs/>
          <w:kern w:val="0"/>
          <w:sz w:val="40"/>
          <w:szCs w:val="40"/>
        </w:rPr>
        <w:t>（20</w:t>
      </w:r>
      <w:r>
        <w:rPr>
          <w:rFonts w:hint="eastAsia" w:ascii="Times New Roman" w:hAnsi="Times New Roman" w:eastAsia="方正小标宋简体" w:cs="方正小标宋简体"/>
          <w:bCs/>
          <w:kern w:val="0"/>
          <w:sz w:val="40"/>
          <w:szCs w:val="40"/>
          <w:lang w:val="en-US" w:eastAsia="zh-CN"/>
        </w:rPr>
        <w:t>20</w:t>
      </w:r>
      <w:r>
        <w:rPr>
          <w:rFonts w:hint="eastAsia" w:ascii="Times New Roman" w:hAnsi="Times New Roman" w:eastAsia="方正小标宋简体" w:cs="方正小标宋简体"/>
          <w:bCs/>
          <w:kern w:val="0"/>
          <w:sz w:val="40"/>
          <w:szCs w:val="40"/>
        </w:rPr>
        <w:t>年度）</w:t>
      </w:r>
    </w:p>
    <w:p>
      <w:pPr>
        <w:widowControl/>
        <w:spacing w:line="560" w:lineRule="exact"/>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 w:val="24"/>
        </w:rPr>
        <w:t>实施单位（盖章）：</w:t>
      </w:r>
      <w:r>
        <w:rPr>
          <w:rFonts w:hint="eastAsia" w:ascii="Times New Roman" w:hAnsi="Times New Roman" w:eastAsia="仿宋_GB2312" w:cs="Times New Roman"/>
          <w:kern w:val="0"/>
          <w:szCs w:val="21"/>
          <w:lang w:eastAsia="zh-CN"/>
        </w:rPr>
        <w:t>金华市林业技术推广站</w:t>
      </w:r>
    </w:p>
    <w:tbl>
      <w:tblPr>
        <w:tblStyle w:val="5"/>
        <w:tblW w:w="9580" w:type="dxa"/>
        <w:jc w:val="center"/>
        <w:tblInd w:w="0" w:type="dxa"/>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158"/>
        <w:gridCol w:w="669"/>
        <w:gridCol w:w="110"/>
        <w:gridCol w:w="575"/>
        <w:gridCol w:w="1808"/>
      </w:tblGrid>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960"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仿宋_GB2312"/>
                <w:kern w:val="0"/>
                <w:sz w:val="24"/>
              </w:rPr>
              <w:t>浙江优质杜鹃花繁育及栽培技术推广示范</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市自然资源和规划局</w:t>
            </w:r>
          </w:p>
        </w:tc>
        <w:tc>
          <w:tcPr>
            <w:tcW w:w="2027"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实施单位</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金华市林业技术推广站</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起止时间</w:t>
            </w:r>
          </w:p>
        </w:tc>
        <w:tc>
          <w:tcPr>
            <w:tcW w:w="7960"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仿宋_GB2312"/>
                <w:kern w:val="0"/>
                <w:sz w:val="24"/>
                <w:lang w:val="en-US" w:eastAsia="zh-CN"/>
              </w:rPr>
              <w:t>2019.6-2021.12</w:t>
            </w:r>
          </w:p>
        </w:tc>
      </w:tr>
      <w:tr>
        <w:tblPrEx>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年初预算数</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全年预算数</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全年执行数</w:t>
            </w:r>
          </w:p>
        </w:tc>
      </w:tr>
      <w:tr>
        <w:tblPrEx>
          <w:tblLayout w:type="fixed"/>
          <w:tblCellMar>
            <w:top w:w="0" w:type="dxa"/>
            <w:left w:w="108" w:type="dxa"/>
            <w:bottom w:w="0" w:type="dxa"/>
            <w:right w:w="108" w:type="dxa"/>
          </w:tblCellMar>
        </w:tblPrEx>
        <w:trPr>
          <w:trHeight w:val="438" w:hRule="atLeast"/>
          <w:jc w:val="center"/>
        </w:trPr>
        <w:tc>
          <w:tcPr>
            <w:tcW w:w="1620"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年度资金总额</w:t>
            </w: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仿宋_GB2312"/>
                <w:sz w:val="24"/>
                <w:lang w:val="en-US" w:eastAsia="zh-CN"/>
              </w:rPr>
              <w:t>60.65</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60.65</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仿宋_GB2312"/>
                <w:sz w:val="24"/>
                <w:lang w:val="en-US" w:eastAsia="zh-CN"/>
              </w:rPr>
              <w:t>55.56</w:t>
            </w:r>
          </w:p>
        </w:tc>
      </w:tr>
      <w:tr>
        <w:tblPrEx>
          <w:tblLayout w:type="fixed"/>
          <w:tblCellMar>
            <w:top w:w="0" w:type="dxa"/>
            <w:left w:w="108" w:type="dxa"/>
            <w:bottom w:w="0" w:type="dxa"/>
            <w:right w:w="108" w:type="dxa"/>
          </w:tblCellMar>
        </w:tblPrEx>
        <w:trPr>
          <w:trHeight w:val="564" w:hRule="atLeast"/>
          <w:jc w:val="center"/>
        </w:trPr>
        <w:tc>
          <w:tcPr>
            <w:tcW w:w="1620"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其中：市本级安排资金</w:t>
            </w: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仿宋_GB2312"/>
                <w:sz w:val="24"/>
                <w:lang w:val="en-US" w:eastAsia="zh-CN"/>
              </w:rPr>
              <w:t>60.65</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60.65</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仿宋_GB2312"/>
                <w:sz w:val="24"/>
                <w:lang w:val="en-US" w:eastAsia="zh-CN"/>
              </w:rPr>
              <w:t>55.56</w:t>
            </w:r>
          </w:p>
        </w:tc>
      </w:tr>
      <w:tr>
        <w:tblPrEx>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预期目标</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实际完成情况</w:t>
            </w:r>
          </w:p>
        </w:tc>
      </w:tr>
      <w:tr>
        <w:tblPrEx>
          <w:tblLayout w:type="fixed"/>
          <w:tblCellMar>
            <w:top w:w="0" w:type="dxa"/>
            <w:left w:w="108" w:type="dxa"/>
            <w:bottom w:w="0" w:type="dxa"/>
            <w:right w:w="108" w:type="dxa"/>
          </w:tblCellMar>
        </w:tblPrEx>
        <w:trPr>
          <w:trHeight w:val="1497" w:hRule="atLeast"/>
          <w:jc w:val="center"/>
        </w:trPr>
        <w:tc>
          <w:tcPr>
            <w:tcW w:w="64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widowControl/>
              <w:tabs>
                <w:tab w:val="left" w:pos="851"/>
              </w:tabs>
              <w:jc w:val="left"/>
              <w:rPr>
                <w:rFonts w:hint="eastAsia" w:ascii="Times New Roman" w:hAnsi="Times New Roman" w:eastAsia="仿宋_GB2312" w:cs="仿宋_GB2312"/>
                <w:bCs/>
                <w:kern w:val="0"/>
                <w:sz w:val="24"/>
              </w:rPr>
            </w:pPr>
            <w:r>
              <w:rPr>
                <w:rFonts w:hint="eastAsia" w:ascii="Times New Roman" w:hAnsi="Times New Roman" w:eastAsia="仿宋_GB2312" w:cs="仿宋_GB2312"/>
                <w:bCs/>
                <w:kern w:val="0"/>
                <w:sz w:val="24"/>
              </w:rPr>
              <w:t>1. 选择优质杜鹃花5种，建立育苗基地3亩，繁育苗木10万株； 2.建设杜鹃花栽培示范基地50亩；示范应用新型育苗基质，苗木生长量较传统方法提高10%；3.举办培训班及技术讲座3期，培训技术人员及林农90人次。</w:t>
            </w:r>
          </w:p>
          <w:p>
            <w:pPr>
              <w:widowControl/>
              <w:tabs>
                <w:tab w:val="left" w:pos="851"/>
              </w:tabs>
              <w:jc w:val="left"/>
              <w:rPr>
                <w:rFonts w:hint="default" w:ascii="Times New Roman" w:hAnsi="Times New Roman" w:eastAsia="仿宋_GB2312" w:cs="Times New Roman"/>
                <w:kern w:val="0"/>
                <w:szCs w:val="21"/>
              </w:rPr>
            </w:pP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仿宋_GB2312"/>
                <w:sz w:val="24"/>
                <w:szCs w:val="24"/>
                <w:highlight w:val="none"/>
              </w:rPr>
              <w:t>（1）</w:t>
            </w:r>
            <w:r>
              <w:rPr>
                <w:rFonts w:hint="eastAsia" w:ascii="Times New Roman" w:hAnsi="Times New Roman" w:eastAsia="仿宋_GB2312" w:cs="仿宋_GB2312"/>
                <w:sz w:val="24"/>
                <w:szCs w:val="24"/>
                <w:highlight w:val="none"/>
                <w:lang w:val="en-US" w:eastAsia="zh-CN"/>
              </w:rPr>
              <w:t>选用映山红、云锦杜鹃等优质杜鹃花8种，建立育苗基地3.2亩，繁育苗木12.6万株</w:t>
            </w:r>
            <w:r>
              <w:rPr>
                <w:rFonts w:hint="eastAsia" w:ascii="Times New Roman" w:hAnsi="Times New Roman" w:eastAsia="仿宋_GB2312" w:cs="仿宋_GB2312"/>
                <w:sz w:val="24"/>
                <w:szCs w:val="24"/>
                <w:highlight w:val="none"/>
              </w:rPr>
              <w:t>；（2）</w:t>
            </w:r>
            <w:r>
              <w:rPr>
                <w:rFonts w:hint="eastAsia" w:ascii="Times New Roman" w:hAnsi="Times New Roman" w:eastAsia="仿宋_GB2312" w:cs="仿宋_GB2312"/>
                <w:sz w:val="24"/>
                <w:szCs w:val="24"/>
                <w:highlight w:val="none"/>
                <w:lang w:val="en-US" w:eastAsia="zh-CN"/>
              </w:rPr>
              <w:t>选用刺毛杜鹃、鹿角杜鹃、映山红等优质杜鹃花，建设与美国薄壳山核桃套种的杜鹃花栽培示范基地56亩；</w:t>
            </w:r>
            <w:r>
              <w:rPr>
                <w:rFonts w:hint="eastAsia" w:ascii="Times New Roman" w:hAnsi="Times New Roman" w:eastAsia="仿宋_GB2312" w:cs="仿宋_GB2312"/>
                <w:sz w:val="24"/>
                <w:szCs w:val="24"/>
                <w:highlight w:val="none"/>
              </w:rPr>
              <w:t>（3）举办培训班及技术讲座2期，培训技术人员及林农</w:t>
            </w:r>
            <w:r>
              <w:rPr>
                <w:rFonts w:hint="eastAsia" w:ascii="Times New Roman" w:hAnsi="Times New Roman" w:eastAsia="仿宋_GB2312" w:cs="仿宋_GB2312"/>
                <w:sz w:val="24"/>
                <w:szCs w:val="24"/>
                <w:highlight w:val="none"/>
                <w:lang w:val="en-US" w:eastAsia="zh-CN"/>
              </w:rPr>
              <w:t>140</w:t>
            </w:r>
            <w:r>
              <w:rPr>
                <w:rFonts w:hint="eastAsia" w:ascii="Times New Roman" w:hAnsi="Times New Roman" w:eastAsia="仿宋_GB2312" w:cs="仿宋_GB2312"/>
                <w:sz w:val="24"/>
                <w:szCs w:val="24"/>
                <w:highlight w:val="none"/>
              </w:rPr>
              <w:t>人次。</w:t>
            </w:r>
          </w:p>
        </w:tc>
      </w:tr>
      <w:tr>
        <w:tblPrEx>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 效 指 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年度指标值</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权重</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0"/>
                <w:szCs w:val="20"/>
              </w:rPr>
              <w:t>偏差原因分析及改进措施</w:t>
            </w:r>
            <w:r>
              <w:rPr>
                <w:rFonts w:hint="default" w:ascii="Times New Roman" w:hAnsi="Times New Roman" w:eastAsia="仿宋_GB2312" w:cs="Times New Roman"/>
                <w:b/>
                <w:bCs/>
                <w:kern w:val="0"/>
                <w:sz w:val="20"/>
                <w:szCs w:val="20"/>
              </w:rPr>
              <w:t>（必填项，可另附说明）</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产出指标（50分）</w:t>
            </w:r>
          </w:p>
        </w:tc>
        <w:tc>
          <w:tcPr>
            <w:tcW w:w="111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仿宋_GB2312"/>
                <w:kern w:val="0"/>
                <w:szCs w:val="21"/>
              </w:rPr>
              <w:t>数量指标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eastAsia="zh-CN"/>
              </w:rPr>
              <w:t>指标</w:t>
            </w:r>
            <w:r>
              <w:rPr>
                <w:rFonts w:hint="eastAsia" w:ascii="Times New Roman" w:hAnsi="Times New Roman" w:eastAsia="仿宋_GB2312" w:cs="Times New Roman"/>
                <w:kern w:val="0"/>
                <w:sz w:val="20"/>
                <w:szCs w:val="20"/>
                <w:lang w:val="en-US" w:eastAsia="zh-CN"/>
              </w:rPr>
              <w:t>1</w:t>
            </w:r>
            <w:r>
              <w:rPr>
                <w:rFonts w:hint="eastAsia" w:ascii="Times New Roman" w:hAnsi="Times New Roman" w:eastAsia="仿宋_GB2312" w:cs="Times New Roman"/>
                <w:kern w:val="0"/>
                <w:sz w:val="20"/>
                <w:szCs w:val="20"/>
                <w:lang w:eastAsia="zh-CN"/>
              </w:rPr>
              <w:t>：</w:t>
            </w:r>
            <w:r>
              <w:rPr>
                <w:rFonts w:hint="eastAsia" w:ascii="Times New Roman" w:hAnsi="Times New Roman" w:eastAsia="仿宋_GB2312" w:cs="仿宋_GB2312"/>
                <w:kern w:val="0"/>
                <w:szCs w:val="21"/>
              </w:rPr>
              <w:t>建设露地培育杜鹃花示范</w:t>
            </w:r>
            <w:r>
              <w:rPr>
                <w:rFonts w:hint="eastAsia" w:ascii="Times New Roman" w:hAnsi="Times New Roman" w:eastAsia="仿宋_GB2312" w:cs="仿宋_GB2312"/>
                <w:kern w:val="0"/>
                <w:szCs w:val="21"/>
                <w:lang w:eastAsia="zh-CN"/>
              </w:rPr>
              <w:t>。</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50</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56</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12</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trHeight w:val="838"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仿宋_GB2312"/>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指标</w:t>
            </w:r>
            <w:r>
              <w:rPr>
                <w:rFonts w:hint="eastAsia" w:ascii="Times New Roman" w:hAnsi="Times New Roman" w:eastAsia="仿宋_GB2312" w:cs="Times New Roman"/>
                <w:kern w:val="0"/>
                <w:sz w:val="20"/>
                <w:szCs w:val="20"/>
                <w:lang w:val="en-US" w:eastAsia="zh-CN"/>
              </w:rPr>
              <w:t>2</w:t>
            </w:r>
            <w:r>
              <w:rPr>
                <w:rFonts w:hint="eastAsia" w:ascii="Times New Roman" w:hAnsi="Times New Roman" w:eastAsia="仿宋_GB2312" w:cs="Times New Roman"/>
                <w:kern w:val="0"/>
                <w:sz w:val="20"/>
                <w:szCs w:val="20"/>
                <w:lang w:eastAsia="zh-CN"/>
              </w:rPr>
              <w:t>：</w:t>
            </w:r>
            <w:r>
              <w:rPr>
                <w:rFonts w:hint="eastAsia" w:ascii="Times New Roman" w:hAnsi="Times New Roman" w:eastAsia="仿宋_GB2312" w:cs="仿宋_GB2312"/>
                <w:kern w:val="0"/>
                <w:szCs w:val="21"/>
              </w:rPr>
              <w:t>举办技术培训1期</w:t>
            </w:r>
            <w:r>
              <w:rPr>
                <w:rFonts w:hint="eastAsia" w:ascii="Times New Roman" w:hAnsi="Times New Roman" w:eastAsia="仿宋_GB2312" w:cs="仿宋_GB2312"/>
                <w:kern w:val="0"/>
                <w:szCs w:val="21"/>
                <w:lang w:eastAsia="zh-CN"/>
              </w:rPr>
              <w:t>。</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60</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77</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8</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8</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质量指标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指标3：</w:t>
            </w:r>
            <w:r>
              <w:rPr>
                <w:rFonts w:hint="eastAsia" w:ascii="Times New Roman" w:hAnsi="Times New Roman" w:eastAsia="仿宋_GB2312" w:cs="仿宋_GB2312"/>
                <w:kern w:val="0"/>
                <w:szCs w:val="21"/>
              </w:rPr>
              <w:t>示范应用新型育苗基质，苗木生长量提高</w:t>
            </w:r>
            <w:r>
              <w:rPr>
                <w:rFonts w:hint="eastAsia" w:ascii="Times New Roman" w:hAnsi="Times New Roman" w:eastAsia="仿宋_GB2312" w:cs="仿宋_GB2312"/>
                <w:kern w:val="0"/>
                <w:szCs w:val="21"/>
                <w:lang w:eastAsia="zh-CN"/>
              </w:rPr>
              <w:t>。</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仿宋_GB2312"/>
                <w:spacing w:val="-11"/>
                <w:sz w:val="24"/>
                <w:szCs w:val="24"/>
                <w:highlight w:val="none"/>
                <w:lang w:val="en-US" w:eastAsia="zh-CN"/>
              </w:rPr>
              <w:t>14.02%-19.9%</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trHeight w:val="946"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时效指标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eastAsia="zh-CN"/>
              </w:rPr>
              <w:t>指标：按照项目申报计划完成</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2021年底前完成</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eastAsia="zh-CN"/>
              </w:rPr>
              <w:t>按照计划完成</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trHeight w:val="1129"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成本指标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eastAsia="zh-CN"/>
              </w:rPr>
              <w:t>成本控制在</w:t>
            </w:r>
            <w:r>
              <w:rPr>
                <w:rFonts w:hint="eastAsia" w:ascii="Times New Roman" w:hAnsi="Times New Roman" w:eastAsia="仿宋_GB2312" w:cs="Times New Roman"/>
                <w:kern w:val="0"/>
                <w:szCs w:val="21"/>
                <w:lang w:val="en-US" w:eastAsia="zh-CN"/>
              </w:rPr>
              <w:t>60.65</w:t>
            </w:r>
            <w:r>
              <w:rPr>
                <w:rFonts w:hint="eastAsia" w:ascii="Times New Roman" w:hAnsi="Times New Roman" w:eastAsia="仿宋_GB2312" w:cs="Times New Roman"/>
                <w:kern w:val="0"/>
                <w:sz w:val="20"/>
                <w:szCs w:val="20"/>
                <w:lang w:val="en-US" w:eastAsia="zh-CN"/>
              </w:rPr>
              <w:t>万以内</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eastAsia="zh-CN"/>
              </w:rPr>
              <w:t>成本控制在</w:t>
            </w:r>
            <w:r>
              <w:rPr>
                <w:rFonts w:hint="eastAsia" w:ascii="Times New Roman" w:hAnsi="Times New Roman" w:eastAsia="仿宋_GB2312" w:cs="Times New Roman"/>
                <w:kern w:val="0"/>
                <w:szCs w:val="21"/>
                <w:lang w:val="en-US" w:eastAsia="zh-CN"/>
              </w:rPr>
              <w:t>60.65</w:t>
            </w:r>
            <w:r>
              <w:rPr>
                <w:rFonts w:hint="eastAsia" w:ascii="Times New Roman" w:hAnsi="Times New Roman" w:eastAsia="仿宋_GB2312" w:cs="Times New Roman"/>
                <w:kern w:val="0"/>
                <w:sz w:val="20"/>
                <w:szCs w:val="20"/>
                <w:lang w:val="en-US" w:eastAsia="zh-CN"/>
              </w:rPr>
              <w:t>万以内</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 w:eastAsia="zh-CN"/>
              </w:rPr>
            </w:pPr>
            <w:r>
              <w:rPr>
                <w:rFonts w:hint="eastAsia" w:ascii="Times New Roman" w:hAnsi="Times New Roman" w:eastAsia="仿宋_GB2312" w:cs="Times New Roman"/>
                <w:kern w:val="0"/>
                <w:sz w:val="20"/>
                <w:szCs w:val="20"/>
                <w:lang w:eastAsia="zh-CN"/>
              </w:rPr>
              <w:t>实际支出</w:t>
            </w:r>
            <w:r>
              <w:rPr>
                <w:rFonts w:hint="eastAsia" w:ascii="Times New Roman" w:hAnsi="Times New Roman" w:eastAsia="仿宋_GB2312" w:cs="仿宋_GB2312"/>
                <w:sz w:val="24"/>
                <w:lang w:val="en-US" w:eastAsia="zh-CN"/>
              </w:rPr>
              <w:t>55.56</w:t>
            </w:r>
            <w:r>
              <w:rPr>
                <w:rFonts w:hint="eastAsia" w:ascii="Times New Roman" w:hAnsi="Times New Roman" w:eastAsia="仿宋_GB2312" w:cs="Times New Roman"/>
                <w:kern w:val="0"/>
                <w:sz w:val="20"/>
                <w:szCs w:val="20"/>
                <w:lang w:val="en" w:eastAsia="zh-CN"/>
              </w:rPr>
              <w:t>万</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0"/>
                <w:szCs w:val="20"/>
              </w:rPr>
            </w:pPr>
          </w:p>
        </w:tc>
      </w:tr>
      <w:tr>
        <w:tblPrEx>
          <w:tblLayout w:type="fixed"/>
          <w:tblCellMar>
            <w:top w:w="0" w:type="dxa"/>
            <w:left w:w="108" w:type="dxa"/>
            <w:bottom w:w="0" w:type="dxa"/>
            <w:right w:w="108" w:type="dxa"/>
          </w:tblCellMar>
        </w:tblPrEx>
        <w:trPr>
          <w:trHeight w:val="2634" w:hRule="exac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效益指标（30分）</w:t>
            </w:r>
          </w:p>
        </w:tc>
        <w:tc>
          <w:tcPr>
            <w:tcW w:w="1116"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rPr>
              <w:t>经济效益指标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Cs w:val="21"/>
                <w:lang w:eastAsia="zh-CN"/>
              </w:rPr>
            </w:pPr>
            <w:r>
              <w:rPr>
                <w:rFonts w:hint="eastAsia" w:ascii="Times New Roman" w:hAnsi="Times New Roman" w:eastAsia="仿宋_GB2312" w:cs="仿宋_GB2312"/>
                <w:kern w:val="0"/>
                <w:szCs w:val="21"/>
                <w:lang w:eastAsia="zh-CN"/>
              </w:rPr>
              <w:t>指标：</w:t>
            </w:r>
            <w:r>
              <w:rPr>
                <w:rFonts w:hint="eastAsia" w:ascii="Times New Roman" w:hAnsi="Times New Roman" w:eastAsia="仿宋_GB2312" w:cs="仿宋_GB2312"/>
                <w:kern w:val="0"/>
                <w:szCs w:val="21"/>
              </w:rPr>
              <w:t>预测苗木繁殖后4－5年，以每株苗10元算，可获得100万元收入。</w:t>
            </w:r>
          </w:p>
          <w:p>
            <w:pPr>
              <w:widowControl/>
              <w:jc w:val="center"/>
              <w:rPr>
                <w:rFonts w:hint="eastAsia" w:ascii="Times New Roman" w:hAnsi="Times New Roman" w:eastAsia="仿宋_GB2312" w:cs="仿宋_GB2312"/>
                <w:kern w:val="0"/>
                <w:szCs w:val="21"/>
                <w:lang w:val="en-US" w:eastAsia="zh-CN"/>
              </w:rPr>
            </w:pP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100万元</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eastAsia="zh-CN"/>
              </w:rPr>
              <w:t>预计</w:t>
            </w:r>
            <w:r>
              <w:rPr>
                <w:rFonts w:hint="eastAsia" w:ascii="Times New Roman" w:hAnsi="Times New Roman" w:eastAsia="仿宋_GB2312" w:cs="仿宋_GB2312"/>
                <w:kern w:val="0"/>
                <w:szCs w:val="21"/>
                <w:lang w:val="en-US" w:eastAsia="zh-CN"/>
              </w:rPr>
              <w:t>100万元以上</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8</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Cs w:val="21"/>
              </w:rPr>
            </w:pPr>
          </w:p>
        </w:tc>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社会效益指标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spacing w:val="-6"/>
                <w:kern w:val="0"/>
                <w:sz w:val="20"/>
                <w:szCs w:val="20"/>
                <w:lang w:val="en-US" w:eastAsia="zh-CN"/>
              </w:rPr>
            </w:pPr>
            <w:r>
              <w:rPr>
                <w:rFonts w:hint="eastAsia" w:ascii="Times New Roman" w:hAnsi="Times New Roman" w:eastAsia="仿宋_GB2312" w:cs="Times New Roman"/>
                <w:spacing w:val="-6"/>
                <w:kern w:val="0"/>
                <w:sz w:val="20"/>
                <w:szCs w:val="20"/>
                <w:lang w:eastAsia="zh-CN"/>
              </w:rPr>
              <w:t>指标：</w:t>
            </w:r>
            <w:r>
              <w:rPr>
                <w:rFonts w:hint="eastAsia" w:ascii="Times New Roman" w:hAnsi="Times New Roman" w:eastAsia="仿宋_GB2312" w:cs="仿宋_GB2312"/>
                <w:kern w:val="0"/>
                <w:szCs w:val="21"/>
              </w:rPr>
              <w:t>吸收周边村庄村民长期务工，增加农民收入。</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spacing w:val="-6"/>
                <w:kern w:val="0"/>
                <w:sz w:val="20"/>
                <w:szCs w:val="20"/>
                <w:lang w:val="en-US" w:eastAsia="zh-CN"/>
              </w:rPr>
            </w:pPr>
            <w:r>
              <w:rPr>
                <w:rFonts w:hint="eastAsia" w:ascii="Times New Roman" w:hAnsi="Times New Roman" w:eastAsia="仿宋_GB2312" w:cs="仿宋_GB2312"/>
                <w:kern w:val="0"/>
                <w:szCs w:val="21"/>
              </w:rPr>
              <w:t>5-10名</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spacing w:val="-6"/>
                <w:kern w:val="0"/>
                <w:sz w:val="20"/>
                <w:szCs w:val="20"/>
                <w:lang w:val="en-US" w:eastAsia="zh-CN"/>
              </w:rPr>
            </w:pPr>
            <w:r>
              <w:rPr>
                <w:rFonts w:hint="eastAsia" w:ascii="Times New Roman" w:hAnsi="Times New Roman" w:eastAsia="仿宋_GB2312" w:cs="仿宋_GB2312"/>
                <w:kern w:val="0"/>
                <w:szCs w:val="21"/>
                <w:lang w:val="en-US" w:eastAsia="zh-CN"/>
              </w:rPr>
              <w:t>6</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仿宋_GB2312"/>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w:t>
            </w:r>
          </w:p>
        </w:tc>
      </w:tr>
      <w:tr>
        <w:tblPrEx>
          <w:tblLayout w:type="fixed"/>
          <w:tblCellMar>
            <w:top w:w="0" w:type="dxa"/>
            <w:left w:w="108" w:type="dxa"/>
            <w:bottom w:w="0" w:type="dxa"/>
            <w:right w:w="108" w:type="dxa"/>
          </w:tblCellMar>
        </w:tblPrEx>
        <w:trPr>
          <w:trHeight w:val="817"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生态效益指标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指标：</w:t>
            </w:r>
            <w:r>
              <w:rPr>
                <w:rFonts w:hint="eastAsia" w:ascii="Times New Roman" w:hAnsi="Times New Roman" w:eastAsia="仿宋_GB2312" w:cs="仿宋_GB2312"/>
                <w:kern w:val="0"/>
                <w:szCs w:val="21"/>
              </w:rPr>
              <w:t>利用环境友好型城镇绿化栽培基质可以循环利用废弃物，减小环境自净压力</w:t>
            </w:r>
            <w:r>
              <w:rPr>
                <w:rFonts w:hint="eastAsia" w:ascii="Times New Roman" w:hAnsi="Times New Roman" w:eastAsia="仿宋_GB2312" w:cs="仿宋_GB2312"/>
                <w:kern w:val="0"/>
                <w:szCs w:val="21"/>
                <w:lang w:eastAsia="zh-CN"/>
              </w:rPr>
              <w:t>。</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rPr>
              <w:t>利用环境友好型城镇绿化栽培基质可以循环利用废弃物，减小环境自净压力</w:t>
            </w:r>
            <w:r>
              <w:rPr>
                <w:rFonts w:hint="eastAsia" w:ascii="Times New Roman" w:hAnsi="Times New Roman" w:eastAsia="仿宋_GB2312" w:cs="仿宋_GB2312"/>
                <w:kern w:val="0"/>
                <w:szCs w:val="21"/>
                <w:lang w:eastAsia="zh-CN"/>
              </w:rPr>
              <w:t>。</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rPr>
              <w:t>利用环境友好型城镇绿化栽培基质可以循环利用废弃物，减小环境自净压力</w:t>
            </w:r>
            <w:r>
              <w:rPr>
                <w:rFonts w:hint="eastAsia" w:ascii="Times New Roman" w:hAnsi="Times New Roman" w:eastAsia="仿宋_GB2312" w:cs="仿宋_GB2312"/>
                <w:kern w:val="0"/>
                <w:szCs w:val="21"/>
                <w:lang w:eastAsia="zh-CN"/>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lang w:val="en-US" w:eastAsia="zh-CN"/>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lang w:val="en-US" w:eastAsia="zh-CN"/>
              </w:rPr>
              <w:t>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可持续影响指标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指标：</w:t>
            </w:r>
            <w:r>
              <w:rPr>
                <w:rFonts w:hint="eastAsia" w:ascii="Times New Roman" w:hAnsi="Times New Roman" w:eastAsia="仿宋_GB2312" w:cs="仿宋_GB2312"/>
                <w:kern w:val="0"/>
                <w:szCs w:val="21"/>
              </w:rPr>
              <w:t>减少当地土壤流失，降低生产成本，实现生产可持续。</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rPr>
              <w:t>减少当地土壤流失，降低生产成本，实现生产可持续。</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rPr>
              <w:t>减少当地土壤流失，降低生产成本，实现生产可持续。</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lang w:val="en-US" w:eastAsia="zh-CN"/>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仿宋_GB2312"/>
                <w:kern w:val="0"/>
                <w:szCs w:val="21"/>
                <w:lang w:val="en-US" w:eastAsia="zh-CN"/>
              </w:rPr>
              <w:t>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r>
      <w:tr>
        <w:tblPrEx>
          <w:tblLayout w:type="fixed"/>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满意度指标（10分）</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服务对象满意度指标</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指标：主管部门满意度90%以上，群众满意度90%以上。</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主管部门满意度9</w:t>
            </w:r>
            <w:r>
              <w:rPr>
                <w:rFonts w:hint="eastAsia" w:ascii="Times New Roman" w:hAnsi="Times New Roman" w:eastAsia="仿宋_GB2312" w:cs="Times New Roman"/>
                <w:kern w:val="0"/>
                <w:szCs w:val="21"/>
                <w:lang w:val="en-US" w:eastAsia="zh-CN"/>
              </w:rPr>
              <w:t>0</w:t>
            </w:r>
            <w:r>
              <w:rPr>
                <w:rFonts w:hint="eastAsia" w:ascii="Times New Roman" w:hAnsi="Times New Roman" w:eastAsia="仿宋_GB2312" w:cs="Times New Roman"/>
                <w:kern w:val="0"/>
                <w:szCs w:val="21"/>
                <w:lang w:eastAsia="zh-CN"/>
              </w:rPr>
              <w:t>%以上，群众满意度9</w:t>
            </w:r>
            <w:r>
              <w:rPr>
                <w:rFonts w:hint="eastAsia" w:ascii="Times New Roman" w:hAnsi="Times New Roman" w:eastAsia="仿宋_GB2312" w:cs="Times New Roman"/>
                <w:kern w:val="0"/>
                <w:szCs w:val="21"/>
                <w:lang w:val="en-US" w:eastAsia="zh-CN"/>
              </w:rPr>
              <w:t>0</w:t>
            </w:r>
            <w:r>
              <w:rPr>
                <w:rFonts w:hint="eastAsia" w:ascii="Times New Roman" w:hAnsi="Times New Roman" w:eastAsia="仿宋_GB2312" w:cs="Times New Roman"/>
                <w:kern w:val="0"/>
                <w:szCs w:val="21"/>
                <w:lang w:eastAsia="zh-CN"/>
              </w:rPr>
              <w:t>%以上。</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eastAsia="zh-CN"/>
              </w:rPr>
              <w:t>主管部门满意度9</w:t>
            </w:r>
            <w:r>
              <w:rPr>
                <w:rFonts w:hint="eastAsia" w:ascii="Times New Roman" w:hAnsi="Times New Roman" w:eastAsia="仿宋_GB2312" w:cs="Times New Roman"/>
                <w:kern w:val="0"/>
                <w:szCs w:val="21"/>
                <w:lang w:val="en-US" w:eastAsia="zh-CN"/>
              </w:rPr>
              <w:t>5</w:t>
            </w:r>
            <w:r>
              <w:rPr>
                <w:rFonts w:hint="eastAsia" w:ascii="Times New Roman" w:hAnsi="Times New Roman" w:eastAsia="仿宋_GB2312" w:cs="Times New Roman"/>
                <w:kern w:val="0"/>
                <w:szCs w:val="21"/>
                <w:lang w:eastAsia="zh-CN"/>
              </w:rPr>
              <w:t>%以上，群众满意度9</w:t>
            </w:r>
            <w:r>
              <w:rPr>
                <w:rFonts w:hint="eastAsia" w:ascii="Times New Roman" w:hAnsi="Times New Roman" w:eastAsia="仿宋_GB2312" w:cs="Times New Roman"/>
                <w:kern w:val="0"/>
                <w:szCs w:val="21"/>
                <w:lang w:val="en-US" w:eastAsia="zh-CN"/>
              </w:rPr>
              <w:t>6</w:t>
            </w:r>
            <w:r>
              <w:rPr>
                <w:rFonts w:hint="eastAsia" w:ascii="Times New Roman" w:hAnsi="Times New Roman" w:eastAsia="仿宋_GB2312" w:cs="Times New Roman"/>
                <w:kern w:val="0"/>
                <w:szCs w:val="21"/>
                <w:lang w:eastAsia="zh-CN"/>
              </w:rPr>
              <w:t>%以上。</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执行率指标（10分</w:t>
            </w:r>
            <w:r>
              <w:rPr>
                <w:rFonts w:hint="default" w:ascii="Times New Roman" w:hAnsi="Times New Roman" w:eastAsia="仿宋_GB2312" w:cs="Times New Roman"/>
                <w:kern w:val="0"/>
                <w:szCs w:val="21"/>
                <w:lang w:eastAsia="zh-CN"/>
              </w:rPr>
              <w:t>）</w:t>
            </w:r>
          </w:p>
        </w:tc>
        <w:tc>
          <w:tcPr>
            <w:tcW w:w="4550"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资金执行率：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eastAsia="仿宋_GB2312" w:cs="Times New Roman"/>
                <w:kern w:val="0"/>
                <w:szCs w:val="21"/>
              </w:rPr>
              <w:t>（计算方式：执行率自评得分</w:t>
            </w:r>
            <w:r>
              <w:rPr>
                <w:rFonts w:hint="default" w:ascii="Times New Roman" w:hAnsi="Times New Roman" w:eastAsia="仿宋_GB2312" w:cs="Times New Roman"/>
                <w:kern w:val="0"/>
                <w:sz w:val="22"/>
                <w:szCs w:val="22"/>
              </w:rPr>
              <w:t>=</w:t>
            </w:r>
            <w:r>
              <w:rPr>
                <w:rFonts w:hint="default" w:ascii="Times New Roman" w:hAnsi="Times New Roman" w:eastAsia="仿宋_GB2312" w:cs="Times New Roman"/>
                <w:kern w:val="0"/>
                <w:szCs w:val="21"/>
              </w:rPr>
              <w:t>资金执行率</w:t>
            </w:r>
            <w:r>
              <w:rPr>
                <w:rFonts w:hint="default" w:ascii="Times New Roman" w:hAnsi="Times New Roman" w:eastAsia="仿宋_GB2312" w:cs="Times New Roman"/>
                <w:kern w:val="0"/>
                <w:sz w:val="22"/>
                <w:szCs w:val="22"/>
              </w:rPr>
              <w:t>*</w:t>
            </w:r>
            <w:r>
              <w:rPr>
                <w:rFonts w:hint="default" w:ascii="Times New Roman" w:hAnsi="Times New Roman" w:eastAsia="仿宋_GB2312" w:cs="Times New Roman"/>
                <w:kern w:val="0"/>
                <w:szCs w:val="21"/>
              </w:rPr>
              <w:t>10）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9</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445" w:hRule="atLeast"/>
          <w:jc w:val="center"/>
        </w:trPr>
        <w:tc>
          <w:tcPr>
            <w:tcW w:w="648"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5770" w:type="dxa"/>
            <w:gridSpan w:val="9"/>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总分</w:t>
            </w:r>
          </w:p>
        </w:tc>
        <w:tc>
          <w:tcPr>
            <w:tcW w:w="6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100</w:t>
            </w:r>
          </w:p>
        </w:tc>
        <w:tc>
          <w:tcPr>
            <w:tcW w:w="68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97</w:t>
            </w:r>
          </w:p>
        </w:tc>
        <w:tc>
          <w:tcPr>
            <w:tcW w:w="18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890"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bCs/>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eastAsia="仿宋_GB2312" w:cs="Times New Roman"/>
                <w:sz w:val="24"/>
              </w:rPr>
              <w:t>优：90分≤得分≤100分；良：80分≤得分&lt;90分；中：60分≤得分&lt;80分；差：得分&lt;60分</w:t>
            </w:r>
          </w:p>
        </w:tc>
        <w:tc>
          <w:tcPr>
            <w:tcW w:w="68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宋体" w:cs="Times New Roman"/>
                <w:kern w:val="0"/>
                <w:szCs w:val="21"/>
                <w:lang w:eastAsia="zh-CN"/>
              </w:rPr>
            </w:pPr>
            <w:r>
              <w:rPr>
                <w:rFonts w:hint="eastAsia" w:ascii="Times New Roman" w:hAnsi="Times New Roman" w:eastAsia="仿宋_GB2312" w:cs="Times New Roman"/>
                <w:kern w:val="0"/>
                <w:szCs w:val="21"/>
                <w:lang w:eastAsia="zh-CN"/>
              </w:rPr>
              <w:t>优</w:t>
            </w:r>
          </w:p>
        </w:tc>
        <w:tc>
          <w:tcPr>
            <w:tcW w:w="1808"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bCs/>
                <w:kern w:val="0"/>
                <w:sz w:val="24"/>
              </w:rPr>
              <w:t>-</w:t>
            </w:r>
          </w:p>
        </w:tc>
      </w:tr>
    </w:tbl>
    <w:p>
      <w:pPr>
        <w:rPr>
          <w:rFonts w:ascii="Times New Roman" w:hAnsi="Times New Roma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color w:val="000000"/>
          <w:spacing w:val="0"/>
          <w:sz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color w:val="000000"/>
          <w:spacing w:val="0"/>
          <w:sz w:val="32"/>
          <w:highlight w:val="none"/>
          <w:lang w:val="en-US" w:eastAsia="zh-CN"/>
        </w:rPr>
      </w:pPr>
      <w:r>
        <w:rPr>
          <w:rFonts w:hint="eastAsia" w:ascii="Times New Roman" w:hAnsi="Times New Roman" w:eastAsia="仿宋_GB2312" w:cs="仿宋_GB2312"/>
          <w:b w:val="0"/>
          <w:bCs/>
          <w:color w:val="000000"/>
          <w:spacing w:val="0"/>
          <w:sz w:val="32"/>
          <w:highlight w:val="none"/>
          <w:lang w:val="en-US" w:eastAsia="zh-CN"/>
        </w:rPr>
        <w:t>食用林产品安全监管工作专项项目绩效自评综述：根据年初设定的绩效目标，项目自评得分98分，自评结论为“优”。项目全年预算数为27万元，执行数为26.43万元，完成预算的97.9%。项目绩效目标完成情况：一是完成板栗、香榧、柿子、油茶、青枣、驯养野生动物等主要品种的监管工作；二是开展了标准化生产推广；三是开展了条例宣传；四是召开了一次全市食用林产品安全监管工作会议;五是完成省级、市级抽检任务合计520批次;六是举办培训一次。发现的问题及原因：一是抽检覆盖面、代表性有待进一步提高，二是法律法规政策宣传力度尚需加强。原因是疫情影响，对县（市、区）业务指导、检查较少。下一步改进措施：加强对县（市、区）业务指导、检查，提高抽检覆盖面和宣传力度。</w:t>
      </w:r>
    </w:p>
    <w:p>
      <w:pPr>
        <w:widowControl/>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金华市本级项目支出绩效自评表</w:t>
      </w:r>
    </w:p>
    <w:p>
      <w:pPr>
        <w:widowControl/>
        <w:spacing w:line="560" w:lineRule="exact"/>
        <w:jc w:val="center"/>
        <w:rPr>
          <w:rFonts w:hint="eastAsia" w:ascii="Times New Roman" w:hAnsi="Times New Roman" w:eastAsia="方正小标宋简体" w:cs="方正小标宋简体"/>
          <w:bCs/>
          <w:kern w:val="0"/>
          <w:sz w:val="40"/>
          <w:szCs w:val="40"/>
        </w:rPr>
      </w:pPr>
      <w:r>
        <w:rPr>
          <w:rFonts w:hint="eastAsia" w:ascii="Times New Roman" w:hAnsi="Times New Roman" w:eastAsia="方正小标宋简体" w:cs="方正小标宋简体"/>
          <w:bCs/>
          <w:kern w:val="0"/>
          <w:sz w:val="40"/>
          <w:szCs w:val="40"/>
        </w:rPr>
        <w:t>（20</w:t>
      </w:r>
      <w:r>
        <w:rPr>
          <w:rFonts w:hint="eastAsia" w:ascii="Times New Roman" w:hAnsi="Times New Roman" w:eastAsia="方正小标宋简体" w:cs="方正小标宋简体"/>
          <w:bCs/>
          <w:kern w:val="0"/>
          <w:sz w:val="40"/>
          <w:szCs w:val="40"/>
          <w:lang w:val="en-US" w:eastAsia="zh-CN"/>
        </w:rPr>
        <w:t>20</w:t>
      </w:r>
      <w:r>
        <w:rPr>
          <w:rFonts w:hint="eastAsia" w:ascii="Times New Roman" w:hAnsi="Times New Roman" w:eastAsia="方正小标宋简体" w:cs="方正小标宋简体"/>
          <w:bCs/>
          <w:kern w:val="0"/>
          <w:sz w:val="40"/>
          <w:szCs w:val="40"/>
        </w:rPr>
        <w:t>年度）</w:t>
      </w:r>
    </w:p>
    <w:p>
      <w:pPr>
        <w:widowControl/>
        <w:spacing w:line="56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实施单位（盖章）：</w:t>
      </w:r>
      <w:r>
        <w:rPr>
          <w:rFonts w:hint="eastAsia" w:ascii="Times New Roman" w:hAnsi="Times New Roman" w:eastAsia="仿宋_GB2312" w:cs="Arial"/>
          <w:color w:val="000000"/>
          <w:sz w:val="28"/>
          <w:szCs w:val="24"/>
          <w:lang w:eastAsia="zh-CN"/>
        </w:rPr>
        <w:t>金华市林业技术推广站</w:t>
      </w:r>
    </w:p>
    <w:tbl>
      <w:tblPr>
        <w:tblStyle w:val="5"/>
        <w:tblW w:w="9580" w:type="dxa"/>
        <w:jc w:val="center"/>
        <w:tblInd w:w="0" w:type="dxa"/>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006"/>
        <w:gridCol w:w="821"/>
        <w:gridCol w:w="110"/>
        <w:gridCol w:w="575"/>
        <w:gridCol w:w="1808"/>
      </w:tblGrid>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7960"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r>
              <w:rPr>
                <w:rFonts w:hint="eastAsia" w:ascii="Times New Roman" w:hAnsi="Times New Roman" w:eastAsia="仿宋_GB2312" w:cs="Arial"/>
                <w:color w:val="000000"/>
                <w:sz w:val="24"/>
                <w:szCs w:val="24"/>
                <w:lang w:eastAsia="zh-CN"/>
              </w:rPr>
              <w:t>食用林产品安全监管工作专项</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eastAsia" w:ascii="Times New Roman" w:hAnsi="Times New Roman" w:eastAsia="仿宋_GB2312" w:cs="仿宋_GB2312"/>
                <w:kern w:val="0"/>
                <w:sz w:val="24"/>
                <w:lang w:val="en-US" w:eastAsia="zh-CN"/>
              </w:rPr>
              <w:t>市自然资源和规划局</w:t>
            </w:r>
          </w:p>
        </w:tc>
        <w:tc>
          <w:tcPr>
            <w:tcW w:w="2027"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实施单位</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1"/>
                <w:szCs w:val="21"/>
              </w:rPr>
            </w:pPr>
            <w:r>
              <w:rPr>
                <w:rFonts w:hint="eastAsia" w:ascii="Times New Roman" w:hAnsi="Times New Roman" w:eastAsia="仿宋_GB2312" w:cs="Arial"/>
                <w:color w:val="000000"/>
                <w:sz w:val="21"/>
                <w:szCs w:val="21"/>
                <w:lang w:eastAsia="zh-CN"/>
              </w:rPr>
              <w:t>金华市林业技术推广站</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起止时间</w:t>
            </w:r>
          </w:p>
        </w:tc>
        <w:tc>
          <w:tcPr>
            <w:tcW w:w="7960" w:type="dxa"/>
            <w:gridSpan w:val="1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eastAsia" w:ascii="Times New Roman" w:hAnsi="Times New Roman" w:eastAsia="仿宋_GB2312" w:cs="Arial"/>
                <w:color w:val="000000"/>
                <w:sz w:val="28"/>
                <w:szCs w:val="24"/>
                <w:lang w:val="en-US" w:eastAsia="zh-CN"/>
              </w:rPr>
              <w:t>2020年1月至12月</w:t>
            </w:r>
          </w:p>
        </w:tc>
      </w:tr>
      <w:tr>
        <w:tblPrEx>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年初预算数</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全年预算数</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全年执行数</w:t>
            </w:r>
          </w:p>
        </w:tc>
      </w:tr>
      <w:tr>
        <w:tblPrEx>
          <w:tblLayout w:type="fixed"/>
          <w:tblCellMar>
            <w:top w:w="0" w:type="dxa"/>
            <w:left w:w="108" w:type="dxa"/>
            <w:bottom w:w="0" w:type="dxa"/>
            <w:right w:w="108" w:type="dxa"/>
          </w:tblCellMar>
        </w:tblPrEx>
        <w:trPr>
          <w:trHeight w:val="311" w:hRule="atLeast"/>
          <w:jc w:val="center"/>
        </w:trPr>
        <w:tc>
          <w:tcPr>
            <w:tcW w:w="1620"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年度资金总额</w:t>
            </w: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27</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eastAsia" w:ascii="Times New Roman" w:hAnsi="Times New Roman" w:eastAsia="仿宋_GB2312" w:cs="Times New Roman"/>
                <w:kern w:val="0"/>
                <w:sz w:val="24"/>
                <w:lang w:val="en-US" w:eastAsia="zh-CN"/>
              </w:rPr>
              <w:t>27</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26.43</w:t>
            </w:r>
          </w:p>
        </w:tc>
      </w:tr>
      <w:tr>
        <w:tblPrEx>
          <w:tblLayout w:type="fixed"/>
          <w:tblCellMar>
            <w:top w:w="0" w:type="dxa"/>
            <w:left w:w="108" w:type="dxa"/>
            <w:bottom w:w="0" w:type="dxa"/>
            <w:right w:w="108" w:type="dxa"/>
          </w:tblCellMar>
        </w:tblPrEx>
        <w:trPr>
          <w:trHeight w:val="910" w:hRule="atLeast"/>
          <w:jc w:val="center"/>
        </w:trPr>
        <w:tc>
          <w:tcPr>
            <w:tcW w:w="1620"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其中：市本级安排资金</w:t>
            </w:r>
          </w:p>
        </w:tc>
        <w:tc>
          <w:tcPr>
            <w:tcW w:w="1900"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27</w:t>
            </w:r>
          </w:p>
        </w:tc>
        <w:tc>
          <w:tcPr>
            <w:tcW w:w="1937"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27</w:t>
            </w:r>
          </w:p>
        </w:tc>
        <w:tc>
          <w:tcPr>
            <w:tcW w:w="238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26.43</w:t>
            </w:r>
          </w:p>
        </w:tc>
      </w:tr>
      <w:tr>
        <w:tblPrEx>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实际完成情况</w:t>
            </w:r>
          </w:p>
        </w:tc>
      </w:tr>
      <w:tr>
        <w:tblPrEx>
          <w:tblLayout w:type="fixed"/>
          <w:tblCellMar>
            <w:top w:w="0" w:type="dxa"/>
            <w:left w:w="108" w:type="dxa"/>
            <w:bottom w:w="0" w:type="dxa"/>
            <w:right w:w="108" w:type="dxa"/>
          </w:tblCellMar>
        </w:tblPrEx>
        <w:trPr>
          <w:trHeight w:val="1497" w:hRule="atLeast"/>
          <w:jc w:val="center"/>
        </w:trPr>
        <w:tc>
          <w:tcPr>
            <w:tcW w:w="64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eastAsia" w:ascii="Times New Roman" w:hAnsi="Times New Roman" w:cs="宋体"/>
                <w:kern w:val="0"/>
                <w:sz w:val="20"/>
                <w:szCs w:val="20"/>
                <w:lang w:eastAsia="zh-CN"/>
              </w:rPr>
              <w:t>本项目主要抓好食用林产品生产环节的监管，一是加强板栗、香榧、柿子、油茶、青枣、驯养野生动物等主要品种的监管；二是加强标准化生产推广；三是加强条例宣传；四是召开一次全市食用林产品安全监管工作会议。五是</w:t>
            </w:r>
            <w:r>
              <w:rPr>
                <w:rFonts w:hint="eastAsia" w:ascii="Times New Roman" w:hAnsi="Times New Roman" w:cs="宋体"/>
                <w:kern w:val="0"/>
                <w:sz w:val="20"/>
                <w:szCs w:val="20"/>
                <w:lang w:val="en-US" w:eastAsia="zh-CN"/>
              </w:rPr>
              <w:t>完成省级、市级抽检任务合计500批次以上。六是举办培训一次。</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Cs/>
                <w:kern w:val="0"/>
                <w:sz w:val="24"/>
              </w:rPr>
            </w:pPr>
            <w:r>
              <w:rPr>
                <w:rFonts w:hint="eastAsia" w:ascii="Times New Roman" w:hAnsi="Times New Roman" w:cs="宋体"/>
                <w:kern w:val="0"/>
                <w:sz w:val="20"/>
                <w:szCs w:val="20"/>
                <w:lang w:eastAsia="zh-CN"/>
              </w:rPr>
              <w:t>一是完成板栗、香榧、柿子、油茶、青枣、驯养野生动物等主要品种的监管工作；二是开展了标准化生产推广；三是开展了条例宣传；四是召开了一次全市食用林产品安全监管工作会议。五是</w:t>
            </w:r>
            <w:r>
              <w:rPr>
                <w:rFonts w:hint="eastAsia" w:ascii="Times New Roman" w:hAnsi="Times New Roman" w:cs="宋体"/>
                <w:kern w:val="0"/>
                <w:sz w:val="20"/>
                <w:szCs w:val="20"/>
                <w:lang w:val="en-US" w:eastAsia="zh-CN"/>
              </w:rPr>
              <w:t>完成省级、市级抽检任务合计520批次。六是举办培训一次。</w:t>
            </w:r>
          </w:p>
        </w:tc>
      </w:tr>
      <w:tr>
        <w:tblPrEx>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绩 效 指 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年度指标值</w:t>
            </w:r>
          </w:p>
        </w:tc>
        <w:tc>
          <w:tcPr>
            <w:tcW w:w="10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实际完成值</w:t>
            </w: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权重</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0"/>
                <w:szCs w:val="20"/>
              </w:rPr>
              <w:t>偏差原因分析及改进措施</w:t>
            </w:r>
            <w:r>
              <w:rPr>
                <w:rFonts w:hint="default" w:ascii="Times New Roman" w:hAnsi="Times New Roman" w:eastAsia="仿宋_GB2312" w:cs="Times New Roman"/>
                <w:b/>
                <w:bCs/>
                <w:kern w:val="0"/>
                <w:sz w:val="20"/>
                <w:szCs w:val="20"/>
              </w:rPr>
              <w:t>（必填项，可另附说明）</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产出指标（50分）</w:t>
            </w:r>
          </w:p>
        </w:tc>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仿宋_GB2312"/>
                <w:kern w:val="0"/>
                <w:szCs w:val="21"/>
              </w:rPr>
              <w:t>数量指标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rPr>
              <w:t>指标</w:t>
            </w:r>
            <w:r>
              <w:rPr>
                <w:rFonts w:hint="eastAsia" w:ascii="Times New Roman" w:hAnsi="Times New Roman" w:eastAsia="仿宋_GB2312" w:cs="仿宋_GB2312"/>
                <w:kern w:val="0"/>
                <w:szCs w:val="21"/>
                <w:lang w:eastAsia="zh-CN"/>
              </w:rPr>
              <w:t>：开展标准化推广</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lang w:eastAsia="zh-CN"/>
              </w:rPr>
              <w:t>全市标准化程度率</w:t>
            </w:r>
            <w:r>
              <w:rPr>
                <w:rFonts w:hint="eastAsia" w:ascii="Times New Roman" w:hAnsi="Times New Roman" w:eastAsia="仿宋_GB2312" w:cs="仿宋_GB2312"/>
                <w:kern w:val="0"/>
                <w:szCs w:val="21"/>
                <w:lang w:val="en-US" w:eastAsia="zh-CN"/>
              </w:rPr>
              <w:t>62%以上</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65.81%</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Cs w:val="21"/>
              </w:rPr>
            </w:pPr>
          </w:p>
        </w:tc>
        <w:tc>
          <w:tcPr>
            <w:tcW w:w="111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eastAsia" w:ascii="Times New Roman" w:hAnsi="Times New Roman" w:eastAsia="仿宋_GB2312" w:cs="仿宋_GB2312"/>
                <w:kern w:val="0"/>
                <w:szCs w:val="21"/>
              </w:rPr>
              <w:t>数量指标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指标</w:t>
            </w:r>
            <w:r>
              <w:rPr>
                <w:rFonts w:hint="eastAsia" w:ascii="Times New Roman" w:hAnsi="Times New Roman" w:eastAsia="仿宋_GB2312" w:cs="仿宋_GB2312"/>
                <w:kern w:val="0"/>
                <w:szCs w:val="21"/>
                <w:lang w:eastAsia="zh-CN"/>
              </w:rPr>
              <w:t>：开展抽样检测</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lang w:eastAsia="zh-CN"/>
              </w:rPr>
              <w:t>全市抽检</w:t>
            </w:r>
            <w:r>
              <w:rPr>
                <w:rFonts w:hint="eastAsia" w:ascii="Times New Roman" w:hAnsi="Times New Roman" w:eastAsia="仿宋_GB2312" w:cs="仿宋_GB2312"/>
                <w:kern w:val="0"/>
                <w:szCs w:val="21"/>
                <w:lang w:val="en-US" w:eastAsia="zh-CN"/>
              </w:rPr>
              <w:t>500批次以上</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eastAsia="zh-CN"/>
              </w:rPr>
              <w:t>实际抽检</w:t>
            </w:r>
            <w:r>
              <w:rPr>
                <w:rFonts w:hint="eastAsia" w:ascii="Times New Roman" w:hAnsi="Times New Roman"/>
                <w:kern w:val="0"/>
                <w:szCs w:val="21"/>
                <w:lang w:val="en-US" w:eastAsia="zh-CN"/>
              </w:rPr>
              <w:t>520批次</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9</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eastAsia="仿宋_GB2312" w:cs="Arial"/>
                <w:color w:val="000000"/>
                <w:sz w:val="24"/>
                <w:lang w:eastAsia="zh-CN"/>
              </w:rPr>
              <w:t>抽检覆盖面、代表性有待进一步提高。</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质量指标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lang w:eastAsia="zh-CN"/>
              </w:rPr>
              <w:t>抽检合格率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lang w:eastAsia="zh-CN"/>
              </w:rPr>
              <w:t>抽检合格率</w:t>
            </w:r>
            <w:r>
              <w:rPr>
                <w:rFonts w:hint="eastAsia" w:ascii="Times New Roman" w:hAnsi="Times New Roman" w:eastAsia="仿宋_GB2312" w:cs="仿宋_GB2312"/>
                <w:kern w:val="0"/>
                <w:szCs w:val="21"/>
                <w:lang w:val="en-US" w:eastAsia="zh-CN"/>
              </w:rPr>
              <w:t>97%以上</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时效指标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lang w:eastAsia="zh-CN"/>
              </w:rPr>
              <w:t>按照项目申报计划完成</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lang w:val="en-US" w:eastAsia="zh-CN"/>
              </w:rPr>
              <w:t>2019年底前完成</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lang w:eastAsia="zh-CN"/>
              </w:rPr>
              <w:t>按照计划完成</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eastAsia="仿宋_GB2312" w:cs="仿宋_GB2312"/>
                <w:kern w:val="0"/>
                <w:sz w:val="21"/>
                <w:szCs w:val="21"/>
                <w:lang w:val="en-US" w:eastAsia="zh-CN" w:bidi="ar-SA"/>
              </w:rPr>
            </w:pPr>
            <w:r>
              <w:rPr>
                <w:rFonts w:hint="eastAsia" w:ascii="Times New Roman" w:hAnsi="Times New Roman" w:eastAsia="仿宋_GB2312" w:cs="仿宋_GB2312"/>
                <w:kern w:val="0"/>
                <w:szCs w:val="21"/>
              </w:rPr>
              <w:t>成本指标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lang w:eastAsia="zh-CN"/>
              </w:rPr>
              <w:t>成本控制在</w:t>
            </w:r>
            <w:r>
              <w:rPr>
                <w:rFonts w:hint="eastAsia" w:ascii="Times New Roman" w:hAnsi="Times New Roman" w:eastAsia="仿宋_GB2312" w:cs="仿宋_GB2312"/>
                <w:kern w:val="0"/>
                <w:szCs w:val="21"/>
                <w:lang w:val="en-US" w:eastAsia="zh-CN"/>
              </w:rPr>
              <w:t>27万以内</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lang w:eastAsia="zh-CN"/>
              </w:rPr>
              <w:t>成本控制在</w:t>
            </w:r>
            <w:r>
              <w:rPr>
                <w:rFonts w:hint="eastAsia" w:ascii="Times New Roman" w:hAnsi="Times New Roman" w:eastAsia="仿宋_GB2312" w:cs="仿宋_GB2312"/>
                <w:kern w:val="0"/>
                <w:szCs w:val="21"/>
                <w:lang w:val="en-US" w:eastAsia="zh-CN"/>
              </w:rPr>
              <w:t>27万以内</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 w:eastAsia="zh-CN" w:bidi="ar-SA"/>
              </w:rPr>
            </w:pPr>
            <w:r>
              <w:rPr>
                <w:rFonts w:hint="eastAsia" w:ascii="Times New Roman" w:hAnsi="Times New Roman"/>
                <w:kern w:val="0"/>
                <w:szCs w:val="21"/>
                <w:lang w:eastAsia="zh-CN"/>
              </w:rPr>
              <w:t>实际支出</w:t>
            </w:r>
            <w:r>
              <w:rPr>
                <w:rFonts w:hint="default" w:ascii="Times New Roman" w:hAnsi="Times New Roman"/>
                <w:color w:val="000000" w:themeColor="text1"/>
                <w:kern w:val="0"/>
                <w:szCs w:val="21"/>
                <w:lang w:val="en" w:eastAsia="zh-CN"/>
                <w14:textFill>
                  <w14:solidFill>
                    <w14:schemeClr w14:val="tx1"/>
                  </w14:solidFill>
                </w14:textFill>
              </w:rPr>
              <w:t>26.4</w:t>
            </w:r>
            <w:r>
              <w:rPr>
                <w:rFonts w:hint="eastAsia" w:ascii="Times New Roman" w:hAnsi="Times New Roman"/>
                <w:color w:val="000000" w:themeColor="text1"/>
                <w:kern w:val="0"/>
                <w:szCs w:val="21"/>
                <w:lang w:val="en" w:eastAsia="zh-CN"/>
                <w14:textFill>
                  <w14:solidFill>
                    <w14:schemeClr w14:val="tx1"/>
                  </w14:solidFill>
                </w14:textFill>
              </w:rPr>
              <w:t>万</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效益指标（30分）</w:t>
            </w:r>
          </w:p>
        </w:tc>
        <w:tc>
          <w:tcPr>
            <w:tcW w:w="1116"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经济效益指标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ind w:firstLine="0" w:firstLineChars="0"/>
              <w:jc w:val="both"/>
              <w:rPr>
                <w:rFonts w:hint="eastAsia" w:ascii="Times New Roman" w:hAnsi="Times New Roman" w:eastAsia="仿宋_GB2312" w:cs="仿宋_GB2312"/>
                <w:color w:val="000000"/>
                <w:sz w:val="18"/>
                <w:szCs w:val="18"/>
                <w:lang w:eastAsia="zh-CN"/>
              </w:rPr>
            </w:pPr>
            <w:r>
              <w:rPr>
                <w:rFonts w:hint="eastAsia" w:ascii="Times New Roman" w:hAnsi="Times New Roman" w:eastAsia="仿宋_GB2312" w:cs="仿宋_GB2312"/>
                <w:kern w:val="0"/>
                <w:sz w:val="18"/>
                <w:szCs w:val="18"/>
              </w:rPr>
              <w:t>指标：</w:t>
            </w:r>
            <w:r>
              <w:rPr>
                <w:rFonts w:hint="eastAsia" w:ascii="Times New Roman" w:hAnsi="Times New Roman" w:eastAsia="仿宋_GB2312" w:cs="仿宋_GB2312"/>
                <w:color w:val="000000"/>
                <w:sz w:val="18"/>
                <w:szCs w:val="18"/>
              </w:rPr>
              <w:t>不直接产生经济效益</w:t>
            </w:r>
            <w:r>
              <w:rPr>
                <w:rFonts w:hint="eastAsia" w:ascii="Times New Roman" w:hAnsi="Times New Roman" w:eastAsia="仿宋_GB2312" w:cs="仿宋_GB2312"/>
                <w:color w:val="000000"/>
                <w:sz w:val="18"/>
                <w:szCs w:val="18"/>
                <w:lang w:eastAsia="zh-CN"/>
              </w:rPr>
              <w:t>。</w:t>
            </w:r>
          </w:p>
          <w:p>
            <w:pPr>
              <w:widowControl/>
              <w:rPr>
                <w:rFonts w:hint="eastAsia" w:ascii="Times New Roman" w:hAnsi="Times New Roman" w:eastAsia="仿宋_GB2312" w:cs="仿宋_GB2312"/>
                <w:kern w:val="0"/>
                <w:sz w:val="18"/>
                <w:szCs w:val="18"/>
                <w:lang w:val="en-US" w:eastAsia="zh-CN" w:bidi="ar-SA"/>
              </w:rPr>
            </w:pP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社会效益指标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指标：</w:t>
            </w:r>
            <w:r>
              <w:rPr>
                <w:rFonts w:hint="eastAsia" w:ascii="Times New Roman" w:hAnsi="Times New Roman" w:eastAsia="仿宋_GB2312" w:cs="仿宋_GB2312"/>
                <w:kern w:val="0"/>
                <w:sz w:val="18"/>
                <w:szCs w:val="18"/>
                <w:lang w:eastAsia="zh-CN"/>
              </w:rPr>
              <w:t>确保</w:t>
            </w:r>
            <w:r>
              <w:rPr>
                <w:rFonts w:hint="eastAsia" w:ascii="Times New Roman" w:hAnsi="Times New Roman" w:eastAsia="仿宋_GB2312" w:cs="仿宋_GB2312"/>
                <w:color w:val="000000"/>
                <w:sz w:val="18"/>
                <w:szCs w:val="18"/>
                <w:lang w:eastAsia="zh-CN"/>
              </w:rPr>
              <w:t>我市食用林产品质量安全。</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eastAsia="zh-CN"/>
              </w:rPr>
              <w:t>确保</w:t>
            </w:r>
            <w:r>
              <w:rPr>
                <w:rFonts w:hint="eastAsia" w:ascii="Times New Roman" w:hAnsi="Times New Roman" w:eastAsia="仿宋_GB2312" w:cs="仿宋_GB2312"/>
                <w:color w:val="000000"/>
                <w:sz w:val="18"/>
                <w:szCs w:val="18"/>
                <w:lang w:eastAsia="zh-CN"/>
              </w:rPr>
              <w:t>我市食用林产品质量安全。</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9</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color w:val="000000"/>
                <w:sz w:val="18"/>
                <w:szCs w:val="18"/>
                <w:lang w:eastAsia="zh-CN"/>
              </w:rPr>
              <w:t>法律法规政策宣传力度尚需加强</w:t>
            </w:r>
            <w:r>
              <w:rPr>
                <w:rFonts w:hint="eastAsia" w:ascii="Times New Roman" w:hAnsi="Times New Roman" w:eastAsia="仿宋_GB2312" w:cs="仿宋_GB2312"/>
                <w:color w:val="000000"/>
                <w:sz w:val="18"/>
                <w:szCs w:val="18"/>
                <w:lang w:val="en-US" w:eastAsia="zh-CN"/>
              </w:rPr>
              <w:t>.</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生态效益指标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指标：</w:t>
            </w:r>
            <w:r>
              <w:rPr>
                <w:rFonts w:hint="eastAsia" w:ascii="Times New Roman" w:hAnsi="Times New Roman" w:eastAsia="仿宋_GB2312" w:cs="仿宋_GB2312"/>
                <w:kern w:val="0"/>
                <w:sz w:val="18"/>
                <w:szCs w:val="18"/>
                <w:lang w:eastAsia="zh-CN"/>
              </w:rPr>
              <w:t>无</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可持续影响指标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rPr>
              <w:t>指标：</w:t>
            </w:r>
            <w:r>
              <w:rPr>
                <w:rFonts w:hint="eastAsia" w:ascii="Times New Roman" w:hAnsi="Times New Roman" w:eastAsia="仿宋_GB2312" w:cs="仿宋_GB2312"/>
                <w:kern w:val="0"/>
                <w:sz w:val="18"/>
                <w:szCs w:val="18"/>
                <w:lang w:eastAsia="zh-CN"/>
              </w:rPr>
              <w:t>通过持续落实各项措施，达到食用林产品质量安全目标。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eastAsia="zh-CN"/>
              </w:rPr>
              <w:t>通过持续落实各项措施，达到食用林产品质量安全目标。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r>
              <w:rPr>
                <w:rFonts w:hint="eastAsia" w:ascii="Times New Roman" w:hAnsi="Times New Roman" w:eastAsia="仿宋_GB2312" w:cs="仿宋_GB2312"/>
                <w:kern w:val="0"/>
                <w:sz w:val="18"/>
                <w:szCs w:val="18"/>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仿宋_GB2312"/>
                <w:kern w:val="0"/>
                <w:sz w:val="18"/>
                <w:szCs w:val="18"/>
                <w:lang w:val="en-US" w:eastAsia="zh-CN" w:bidi="ar-SA"/>
              </w:rPr>
            </w:pPr>
          </w:p>
        </w:tc>
      </w:tr>
      <w:tr>
        <w:tblPrEx>
          <w:tblLayout w:type="fixed"/>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满意度指标（10分）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kern w:val="0"/>
                <w:sz w:val="21"/>
                <w:szCs w:val="21"/>
                <w:lang w:val="en-US" w:eastAsia="zh-CN" w:bidi="ar-SA"/>
              </w:rPr>
            </w:pPr>
            <w:r>
              <w:rPr>
                <w:rFonts w:hint="eastAsia" w:ascii="Times New Roman" w:hAnsi="Times New Roman" w:eastAsia="仿宋_GB2312" w:cs="仿宋_GB2312"/>
                <w:kern w:val="0"/>
                <w:szCs w:val="21"/>
              </w:rPr>
              <w:t>指标：</w:t>
            </w:r>
            <w:r>
              <w:rPr>
                <w:rFonts w:hint="eastAsia" w:ascii="Times New Roman" w:hAnsi="Times New Roman" w:eastAsia="仿宋_GB2312" w:cs="仿宋_GB2312"/>
                <w:kern w:val="0"/>
                <w:szCs w:val="21"/>
                <w:lang w:eastAsia="zh-CN"/>
              </w:rPr>
              <w:t>群众</w:t>
            </w:r>
            <w:r>
              <w:rPr>
                <w:rFonts w:hint="eastAsia" w:ascii="Times New Roman" w:hAnsi="Times New Roman" w:eastAsia="仿宋_GB2312" w:cs="仿宋_GB2312"/>
                <w:kern w:val="0"/>
                <w:szCs w:val="21"/>
              </w:rPr>
              <w:t>满意度90%以上</w:t>
            </w:r>
            <w:r>
              <w:rPr>
                <w:rFonts w:hint="eastAsia" w:ascii="Times New Roman" w:hAnsi="Times New Roman" w:eastAsia="仿宋_GB2312" w:cs="仿宋_GB2312"/>
                <w:kern w:val="0"/>
                <w:szCs w:val="21"/>
                <w:lang w:eastAsia="zh-CN"/>
              </w:rPr>
              <w:t>。</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kern w:val="0"/>
                <w:sz w:val="21"/>
                <w:szCs w:val="21"/>
                <w:lang w:val="en-US" w:eastAsia="zh-CN" w:bidi="ar-SA"/>
              </w:rPr>
            </w:pP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kern w:val="0"/>
                <w:sz w:val="21"/>
                <w:szCs w:val="21"/>
                <w:lang w:val="en-US" w:eastAsia="zh-CN" w:bidi="ar-SA"/>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tabs>
                <w:tab w:val="left" w:pos="357"/>
              </w:tabs>
              <w:jc w:val="center"/>
              <w:rPr>
                <w:rFonts w:hint="default" w:ascii="Times New Roman" w:hAnsi="Times New Roman"/>
                <w:kern w:val="0"/>
                <w:sz w:val="21"/>
                <w:szCs w:val="21"/>
                <w:lang w:val="en-US" w:eastAsia="zh-CN" w:bidi="ar-SA"/>
              </w:rPr>
            </w:pPr>
            <w:r>
              <w:rPr>
                <w:rFonts w:hint="eastAsia" w:ascii="Times New Roman" w:hAnsi="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eastAsia" w:ascii="Times New Roman" w:hAnsi="Times New Roman"/>
                <w:kern w:val="0"/>
                <w:szCs w:val="21"/>
                <w:lang w:val="en-US" w:eastAsia="zh-CN"/>
              </w:rPr>
              <w:t>10</w:t>
            </w:r>
            <w:r>
              <w:rPr>
                <w:rFonts w:hint="default" w:ascii="Times New Roman" w:hAnsi="Times New Roman" w:cs="Times New Roman"/>
                <w:kern w:val="0"/>
                <w:szCs w:val="21"/>
              </w:rPr>
              <w:tab/>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执行率指标（10分</w:t>
            </w:r>
            <w:r>
              <w:rPr>
                <w:rFonts w:hint="default" w:ascii="Times New Roman" w:hAnsi="Times New Roman" w:eastAsia="仿宋_GB2312" w:cs="Times New Roman"/>
                <w:kern w:val="0"/>
                <w:szCs w:val="21"/>
                <w:lang w:eastAsia="zh-CN"/>
              </w:rPr>
              <w:t>）</w:t>
            </w:r>
          </w:p>
        </w:tc>
        <w:tc>
          <w:tcPr>
            <w:tcW w:w="4398"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资金执行率：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eastAsia="仿宋_GB2312" w:cs="Times New Roman"/>
                <w:kern w:val="0"/>
                <w:szCs w:val="21"/>
              </w:rPr>
              <w:t>（计算方式：执行率自评得分</w:t>
            </w:r>
            <w:r>
              <w:rPr>
                <w:rFonts w:hint="default" w:ascii="Times New Roman" w:hAnsi="Times New Roman" w:eastAsia="仿宋_GB2312" w:cs="Times New Roman"/>
                <w:kern w:val="0"/>
                <w:sz w:val="22"/>
                <w:szCs w:val="22"/>
              </w:rPr>
              <w:t>=</w:t>
            </w:r>
            <w:r>
              <w:rPr>
                <w:rFonts w:hint="default" w:ascii="Times New Roman" w:hAnsi="Times New Roman" w:eastAsia="仿宋_GB2312" w:cs="Times New Roman"/>
                <w:kern w:val="0"/>
                <w:szCs w:val="21"/>
              </w:rPr>
              <w:t>资金执行率</w:t>
            </w:r>
            <w:r>
              <w:rPr>
                <w:rFonts w:hint="default" w:ascii="Times New Roman" w:hAnsi="Times New Roman" w:eastAsia="仿宋_GB2312" w:cs="Times New Roman"/>
                <w:kern w:val="0"/>
                <w:sz w:val="22"/>
                <w:szCs w:val="22"/>
              </w:rPr>
              <w:t>*</w:t>
            </w:r>
            <w:r>
              <w:rPr>
                <w:rFonts w:hint="default" w:ascii="Times New Roman" w:hAnsi="Times New Roman" w:eastAsia="仿宋_GB2312" w:cs="Times New Roman"/>
                <w:kern w:val="0"/>
                <w:szCs w:val="21"/>
              </w:rPr>
              <w:t>10）</w:t>
            </w: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311" w:hRule="atLeast"/>
          <w:jc w:val="center"/>
        </w:trPr>
        <w:tc>
          <w:tcPr>
            <w:tcW w:w="648"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c>
          <w:tcPr>
            <w:tcW w:w="5618" w:type="dxa"/>
            <w:gridSpan w:val="9"/>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总分</w:t>
            </w:r>
          </w:p>
        </w:tc>
        <w:tc>
          <w:tcPr>
            <w:tcW w:w="82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100</w:t>
            </w:r>
          </w:p>
        </w:tc>
        <w:tc>
          <w:tcPr>
            <w:tcW w:w="68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lang w:val="en-US" w:eastAsia="zh-CN"/>
              </w:rPr>
              <w:t>98</w:t>
            </w:r>
          </w:p>
        </w:tc>
        <w:tc>
          <w:tcPr>
            <w:tcW w:w="18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kern w:val="0"/>
                <w:szCs w:val="21"/>
              </w:rPr>
            </w:pPr>
            <w:r>
              <w:rPr>
                <w:rFonts w:hint="default" w:ascii="Times New Roman" w:hAnsi="Times New Roman" w:eastAsia="仿宋_GB2312" w:cs="Times New Roman"/>
                <w:bCs/>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eastAsia="仿宋_GB2312" w:cs="Times New Roman"/>
                <w:sz w:val="24"/>
              </w:rPr>
              <w:t>优：90分≤得分≤100分；良：80分≤得分&lt;90分；中：60分≤得分&lt;80分；差：得分&lt;60分</w:t>
            </w:r>
          </w:p>
        </w:tc>
        <w:tc>
          <w:tcPr>
            <w:tcW w:w="68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tabs>
                <w:tab w:val="left" w:pos="357"/>
              </w:tabs>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优</w:t>
            </w:r>
          </w:p>
        </w:tc>
        <w:tc>
          <w:tcPr>
            <w:tcW w:w="1808"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bCs/>
                <w:kern w:val="0"/>
                <w:sz w:val="24"/>
              </w:rPr>
              <w:t>-</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b w:val="0"/>
          <w:bCs/>
          <w:color w:val="000000"/>
          <w:spacing w:val="0"/>
          <w:sz w:val="32"/>
          <w:highlight w:val="none"/>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财政评价项目绩效评价结果</w:t>
      </w:r>
    </w:p>
    <w:p>
      <w:pPr>
        <w:numPr>
          <w:ilvl w:val="0"/>
          <w:numId w:val="0"/>
        </w:numPr>
        <w:spacing w:beforeLines="0" w:afterLines="0" w:line="324" w:lineRule="auto"/>
        <w:ind w:firstLine="640" w:firstLineChars="200"/>
        <w:rPr>
          <w:rFonts w:hint="eastAsia" w:ascii="Times New Roman" w:hAnsi="Times New Roman" w:eastAsia="仿宋"/>
          <w:color w:val="000000"/>
          <w:sz w:val="32"/>
          <w:highlight w:val="white"/>
          <w:lang w:val="en-US"/>
        </w:rPr>
      </w:pPr>
      <w:r>
        <w:rPr>
          <w:rFonts w:hint="eastAsia" w:ascii="Times New Roman" w:hAnsi="Times New Roman" w:eastAsia="仿宋_GB2312" w:cs="仿宋_GB2312"/>
          <w:color w:val="000000"/>
          <w:spacing w:val="0"/>
          <w:sz w:val="32"/>
          <w:highlight w:val="none"/>
          <w:lang w:val="en-US"/>
        </w:rPr>
        <w:t>本年</w:t>
      </w:r>
      <w:r>
        <w:rPr>
          <w:rFonts w:hint="eastAsia" w:ascii="Times New Roman" w:hAnsi="Times New Roman" w:eastAsia="仿宋_GB2312" w:cs="仿宋_GB2312"/>
          <w:color w:val="000000"/>
          <w:spacing w:val="0"/>
          <w:sz w:val="32"/>
          <w:highlight w:val="none"/>
          <w:lang w:val="en-US" w:eastAsia="zh-CN"/>
        </w:rPr>
        <w:t>未开展</w:t>
      </w:r>
      <w:r>
        <w:rPr>
          <w:rFonts w:hint="eastAsia" w:ascii="Times New Roman" w:hAnsi="Times New Roman" w:eastAsia="仿宋_GB2312" w:cs="仿宋_GB2312"/>
          <w:color w:val="000000"/>
          <w:spacing w:val="0"/>
          <w:sz w:val="32"/>
          <w:highlight w:val="none"/>
          <w:lang w:val="en-US"/>
        </w:rPr>
        <w:t>财政评价项目绩效评价</w:t>
      </w:r>
      <w:r>
        <w:rPr>
          <w:rFonts w:hint="eastAsia" w:ascii="Times New Roman" w:hAnsi="Times New Roman" w:eastAsia="仿宋_GB2312" w:cs="仿宋_GB2312"/>
          <w:color w:val="000000"/>
          <w:spacing w:val="0"/>
          <w:sz w:val="32"/>
          <w:highlight w:val="none"/>
          <w:lang w:val="en-US" w:eastAsia="zh-CN"/>
        </w:rPr>
        <w:t>，</w:t>
      </w:r>
      <w:r>
        <w:rPr>
          <w:rFonts w:hint="eastAsia" w:ascii="Times New Roman" w:hAnsi="Times New Roman" w:eastAsia="仿宋"/>
          <w:color w:val="000000"/>
          <w:sz w:val="32"/>
          <w:highlight w:val="white"/>
          <w:lang w:val="en-US" w:eastAsia="zh-CN"/>
        </w:rPr>
        <w:t>因此，无相关内容。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color w:val="000000"/>
          <w:spacing w:val="0"/>
          <w:sz w:val="32"/>
          <w:highlight w:val="none"/>
          <w:lang w:val="en-US"/>
        </w:rPr>
      </w:pPr>
      <w:r>
        <w:rPr>
          <w:rFonts w:hint="eastAsia" w:ascii="Times New Roman" w:hAnsi="Times New Roman" w:eastAsia="仿宋_GB2312" w:cs="仿宋_GB2312"/>
          <w:b/>
          <w:color w:val="000000"/>
          <w:spacing w:val="0"/>
          <w:sz w:val="32"/>
          <w:highlight w:val="none"/>
          <w:lang w:val="en-US"/>
        </w:rPr>
        <w:t>4.部门评价项目绩效评价结果</w:t>
      </w:r>
    </w:p>
    <w:p>
      <w:pPr>
        <w:numPr>
          <w:ilvl w:val="0"/>
          <w:numId w:val="0"/>
        </w:numPr>
        <w:spacing w:beforeLines="0" w:afterLines="0" w:line="324" w:lineRule="auto"/>
        <w:ind w:firstLine="640" w:firstLineChars="200"/>
        <w:rPr>
          <w:rFonts w:hint="eastAsia" w:ascii="Times New Roman" w:hAnsi="Times New Roman" w:eastAsia="仿宋"/>
          <w:color w:val="000000"/>
          <w:sz w:val="32"/>
          <w:highlight w:val="white"/>
          <w:lang w:val="en-US"/>
        </w:rPr>
      </w:pPr>
      <w:r>
        <w:rPr>
          <w:rFonts w:hint="eastAsia" w:ascii="Times New Roman" w:hAnsi="Times New Roman" w:eastAsia="仿宋_GB2312" w:cs="仿宋_GB2312"/>
          <w:color w:val="000000"/>
          <w:spacing w:val="0"/>
          <w:sz w:val="32"/>
          <w:highlight w:val="none"/>
          <w:lang w:val="en-US"/>
        </w:rPr>
        <w:t>本年</w:t>
      </w:r>
      <w:r>
        <w:rPr>
          <w:rFonts w:hint="eastAsia" w:ascii="Times New Roman" w:hAnsi="Times New Roman" w:eastAsia="仿宋_GB2312" w:cs="仿宋_GB2312"/>
          <w:color w:val="000000"/>
          <w:spacing w:val="0"/>
          <w:sz w:val="32"/>
          <w:highlight w:val="none"/>
          <w:lang w:val="en-US" w:eastAsia="zh-CN"/>
        </w:rPr>
        <w:t>未开展</w:t>
      </w:r>
      <w:r>
        <w:rPr>
          <w:rFonts w:hint="eastAsia" w:ascii="Times New Roman" w:hAnsi="Times New Roman" w:eastAsia="仿宋_GB2312" w:cs="仿宋_GB2312"/>
          <w:color w:val="000000"/>
          <w:spacing w:val="0"/>
          <w:sz w:val="32"/>
          <w:highlight w:val="none"/>
          <w:lang w:val="en-US"/>
        </w:rPr>
        <w:t>部门评价项目绩效评价</w:t>
      </w:r>
      <w:r>
        <w:rPr>
          <w:rFonts w:hint="eastAsia" w:ascii="Times New Roman" w:hAnsi="Times New Roman" w:eastAsia="仿宋_GB2312" w:cs="仿宋_GB2312"/>
          <w:color w:val="000000"/>
          <w:spacing w:val="0"/>
          <w:sz w:val="32"/>
          <w:highlight w:val="none"/>
          <w:lang w:val="en-US" w:eastAsia="zh-CN"/>
        </w:rPr>
        <w:t>，因此，</w:t>
      </w:r>
      <w:r>
        <w:rPr>
          <w:rFonts w:hint="eastAsia" w:ascii="Times New Roman" w:hAnsi="Times New Roman" w:eastAsia="仿宋"/>
          <w:color w:val="000000"/>
          <w:sz w:val="32"/>
          <w:highlight w:val="white"/>
          <w:lang w:val="en-US" w:eastAsia="zh-CN"/>
        </w:rPr>
        <w:t>无相关内容。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Times New Roman"/>
          <w:b w:val="0"/>
          <w:bCs/>
          <w:color w:val="000000"/>
          <w:spacing w:val="0"/>
          <w:sz w:val="32"/>
          <w:highlight w:val="none"/>
          <w:lang w:val="en-US"/>
        </w:rPr>
      </w:pPr>
      <w:r>
        <w:rPr>
          <w:rFonts w:hint="eastAsia" w:ascii="Times New Roman" w:hAnsi="Times New Roman" w:eastAsia="黑体"/>
          <w:b w:val="0"/>
          <w:bCs/>
          <w:color w:val="000000"/>
          <w:spacing w:val="0"/>
          <w:sz w:val="32"/>
          <w:highlight w:val="none"/>
          <w:lang w:val="en-US"/>
        </w:rPr>
        <w:t>四、名词解释</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zh-CN"/>
        </w:rPr>
      </w:pPr>
      <w:r>
        <w:rPr>
          <w:rFonts w:hint="eastAsia" w:ascii="Times New Roman" w:hAnsi="Times New Roman" w:eastAsia="仿宋_GB2312" w:cs="仿宋_GB2312"/>
          <w:color w:val="000000"/>
          <w:spacing w:val="0"/>
          <w:sz w:val="32"/>
          <w:szCs w:val="32"/>
          <w:highlight w:val="none"/>
          <w:lang w:val="zh-CN"/>
        </w:rPr>
        <w:t>1.财政拨款收入：指本级财政部门当年拨付的财政预算资金，包括一般公共预算财政拨款、政府性基金预算财政拨款和国有资本经预算财政拨款。</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eastAsia="zh-CN"/>
        </w:rPr>
        <w:t>2</w:t>
      </w:r>
      <w:r>
        <w:rPr>
          <w:rFonts w:hint="eastAsia" w:ascii="Times New Roman" w:hAnsi="Times New Roman" w:eastAsia="仿宋_GB2312" w:cs="仿宋_GB2312"/>
          <w:color w:val="000000"/>
          <w:spacing w:val="0"/>
          <w:sz w:val="32"/>
          <w:szCs w:val="32"/>
          <w:highlight w:val="none"/>
          <w:lang w:val="en-US"/>
        </w:rPr>
        <w:t>.年初结转和结余：指预算单位以前年度尚未完成、结转到本年仍按原规定用途继续使用的资金。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eastAsia="zh-CN"/>
        </w:rPr>
        <w:t>3</w:t>
      </w:r>
      <w:r>
        <w:rPr>
          <w:rFonts w:hint="eastAsia" w:ascii="Times New Roman" w:hAnsi="Times New Roman" w:eastAsia="仿宋_GB2312" w:cs="仿宋_GB2312"/>
          <w:color w:val="000000"/>
          <w:spacing w:val="0"/>
          <w:sz w:val="32"/>
          <w:szCs w:val="32"/>
          <w:highlight w:val="none"/>
          <w:lang w:val="en-US"/>
        </w:rPr>
        <w:t>.基本支出：指预算单位为保障其正常运转，完成日常工作任务所发生的支出，包括人员经费支出和日常公用经费支出。</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eastAsia="zh-CN"/>
        </w:rPr>
        <w:t>4</w:t>
      </w:r>
      <w:r>
        <w:rPr>
          <w:rFonts w:hint="eastAsia" w:ascii="Times New Roman" w:hAnsi="Times New Roman" w:eastAsia="仿宋_GB2312" w:cs="仿宋_GB2312"/>
          <w:color w:val="000000"/>
          <w:spacing w:val="0"/>
          <w:sz w:val="32"/>
          <w:szCs w:val="32"/>
          <w:highlight w:val="none"/>
          <w:lang w:val="en-US"/>
        </w:rPr>
        <w:t>.项目支出：指预算单位为完成其特定的行政工作任务或事业发展目标所发生的支出。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594"/>
        <w:textAlignment w:val="auto"/>
        <w:rPr>
          <w:rFonts w:hint="eastAsia" w:ascii="Times New Roman" w:hAnsi="Times New Roman" w:eastAsia="仿宋_GB2312" w:cs="仿宋_GB2312"/>
          <w:color w:val="000000"/>
          <w:spacing w:val="0"/>
          <w:sz w:val="32"/>
          <w:szCs w:val="32"/>
          <w:highlight w:val="none"/>
          <w:lang w:val="en-US"/>
        </w:rPr>
      </w:pPr>
      <w:r>
        <w:rPr>
          <w:rFonts w:hint="eastAsia" w:ascii="Times New Roman" w:hAnsi="Times New Roman" w:eastAsia="仿宋_GB2312" w:cs="仿宋_GB2312"/>
          <w:color w:val="000000"/>
          <w:spacing w:val="0"/>
          <w:sz w:val="32"/>
          <w:szCs w:val="32"/>
          <w:highlight w:val="none"/>
          <w:lang w:val="en-US"/>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rPr>
        <w:t>6．社会保障和就业支出（类）行政事业单位养老支出（款）机关事业单位基本养老保险缴费支出（项）：指机关事业单位实施养老保险制度由单位缴纳的基本养老保险支出。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pacing w:val="0"/>
          <w:sz w:val="32"/>
          <w:szCs w:val="32"/>
          <w:highlight w:val="none"/>
        </w:rPr>
      </w:pPr>
      <w:r>
        <w:rPr>
          <w:rFonts w:hint="eastAsia" w:ascii="Times New Roman" w:hAnsi="Times New Roman" w:eastAsia="仿宋_GB2312" w:cs="仿宋_GB2312"/>
          <w:bCs/>
          <w:color w:val="000000"/>
          <w:spacing w:val="0"/>
          <w:sz w:val="32"/>
          <w:szCs w:val="32"/>
          <w:highlight w:val="none"/>
        </w:rPr>
        <w:t>7．社会保障和就业支出（类）行政事业单位养老支出（款）机关事业单位职业年金缴费支出（项）：指机关事业单位实施养老保险制度由单位缴纳的职业年金支出。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rPr>
        <w:t>8．卫生健康支出（类）行政事业单位医疗（款）事业单位医疗（项）：指财政部门安排的事业单位基本医疗保险缴费经费，未参加医疗保险的事业单位的公费医疗经费，按国家规定享受离休人员待遇的医疗经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rPr>
        <w:t>9．农林水支出（类）林业和草原（款）事业机构（项）：指事业单位的基本支出，不包括行政单位（含实行公务员管理的事业单位）后勤服务中心等附属事业单位的支出。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lang w:val="en-US" w:eastAsia="zh-CN"/>
        </w:rPr>
        <w:t>10.</w:t>
      </w:r>
      <w:r>
        <w:rPr>
          <w:rFonts w:hint="eastAsia" w:ascii="Times New Roman" w:hAnsi="Times New Roman" w:eastAsia="仿宋_GB2312" w:cs="仿宋_GB2312"/>
          <w:bCs/>
          <w:color w:val="000000"/>
          <w:spacing w:val="0"/>
          <w:sz w:val="32"/>
          <w:szCs w:val="32"/>
          <w:highlight w:val="none"/>
        </w:rPr>
        <w:t>农林水支出（类）林业和草原（款）</w:t>
      </w:r>
      <w:r>
        <w:rPr>
          <w:rFonts w:hint="eastAsia" w:ascii="Times New Roman" w:hAnsi="Times New Roman" w:eastAsia="仿宋_GB2312" w:cs="仿宋_GB2312"/>
          <w:bCs/>
          <w:color w:val="000000"/>
          <w:spacing w:val="0"/>
          <w:sz w:val="32"/>
          <w:szCs w:val="32"/>
          <w:highlight w:val="none"/>
          <w:lang w:eastAsia="zh-CN"/>
        </w:rPr>
        <w:t>林业推广与转化</w:t>
      </w:r>
      <w:r>
        <w:rPr>
          <w:rFonts w:hint="eastAsia" w:ascii="Times New Roman" w:hAnsi="Times New Roman" w:eastAsia="仿宋_GB2312" w:cs="仿宋_GB2312"/>
          <w:bCs/>
          <w:color w:val="000000"/>
          <w:spacing w:val="0"/>
          <w:sz w:val="32"/>
          <w:szCs w:val="32"/>
          <w:highlight w:val="none"/>
        </w:rPr>
        <w:t>（项）：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Cs/>
          <w:color w:val="000000"/>
          <w:spacing w:val="0"/>
          <w:sz w:val="32"/>
          <w:szCs w:val="32"/>
          <w:highlight w:val="none"/>
          <w:lang w:eastAsia="zh-CN"/>
        </w:rPr>
      </w:pPr>
      <w:r>
        <w:rPr>
          <w:rFonts w:hint="eastAsia" w:ascii="Times New Roman" w:hAnsi="Times New Roman" w:eastAsia="仿宋_GB2312" w:cs="仿宋_GB2312"/>
          <w:bCs/>
          <w:color w:val="000000"/>
          <w:spacing w:val="0"/>
          <w:sz w:val="32"/>
          <w:szCs w:val="32"/>
          <w:highlight w:val="none"/>
          <w:lang w:eastAsia="zh-CN"/>
        </w:rPr>
        <w:t>指良种繁育、新技术引进、区域化试验、示范、技术推广、成果转化、科学普及等方面的支出。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rPr>
        <w:t>1</w:t>
      </w:r>
      <w:r>
        <w:rPr>
          <w:rFonts w:hint="eastAsia" w:ascii="Times New Roman" w:hAnsi="Times New Roman" w:eastAsia="仿宋_GB2312" w:cs="仿宋_GB2312"/>
          <w:bCs/>
          <w:color w:val="000000"/>
          <w:spacing w:val="0"/>
          <w:sz w:val="32"/>
          <w:szCs w:val="32"/>
          <w:highlight w:val="none"/>
          <w:lang w:val="en-US" w:eastAsia="zh-CN"/>
        </w:rPr>
        <w:t>1</w:t>
      </w:r>
      <w:r>
        <w:rPr>
          <w:rFonts w:hint="eastAsia" w:ascii="Times New Roman" w:hAnsi="Times New Roman" w:eastAsia="仿宋_GB2312" w:cs="仿宋_GB2312"/>
          <w:bCs/>
          <w:color w:val="000000"/>
          <w:spacing w:val="0"/>
          <w:sz w:val="32"/>
          <w:szCs w:val="32"/>
          <w:highlight w:val="none"/>
        </w:rPr>
        <w:t>．农林水支出（类）林业和草原（款）其他林业</w:t>
      </w:r>
      <w:r>
        <w:rPr>
          <w:rFonts w:hint="eastAsia" w:ascii="Times New Roman" w:hAnsi="Times New Roman" w:eastAsia="仿宋_GB2312" w:cs="仿宋_GB2312"/>
          <w:bCs/>
          <w:color w:val="000000"/>
          <w:spacing w:val="0"/>
          <w:sz w:val="32"/>
          <w:szCs w:val="32"/>
          <w:highlight w:val="none"/>
          <w:lang w:eastAsia="zh-CN"/>
        </w:rPr>
        <w:t>和草原</w:t>
      </w:r>
      <w:r>
        <w:rPr>
          <w:rFonts w:hint="eastAsia" w:ascii="Times New Roman" w:hAnsi="Times New Roman" w:eastAsia="仿宋_GB2312" w:cs="仿宋_GB2312"/>
          <w:bCs/>
          <w:color w:val="000000"/>
          <w:spacing w:val="0"/>
          <w:sz w:val="32"/>
          <w:szCs w:val="32"/>
          <w:highlight w:val="none"/>
        </w:rPr>
        <w:t>支出（项）：指除上述项目以外其他用于林业和草原的支出。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Cs/>
          <w:color w:val="000000"/>
          <w:spacing w:val="0"/>
          <w:sz w:val="32"/>
          <w:szCs w:val="32"/>
          <w:highlight w:val="none"/>
        </w:rPr>
      </w:pPr>
      <w:r>
        <w:rPr>
          <w:rFonts w:hint="eastAsia" w:ascii="Times New Roman" w:hAnsi="Times New Roman" w:eastAsia="仿宋_GB2312" w:cs="仿宋_GB2312"/>
          <w:bCs/>
          <w:color w:val="000000"/>
          <w:spacing w:val="0"/>
          <w:sz w:val="32"/>
          <w:szCs w:val="32"/>
          <w:highlight w:val="none"/>
        </w:rPr>
        <w:t>1</w:t>
      </w:r>
      <w:r>
        <w:rPr>
          <w:rFonts w:hint="eastAsia" w:ascii="Times New Roman" w:hAnsi="Times New Roman" w:eastAsia="仿宋_GB2312" w:cs="仿宋_GB2312"/>
          <w:bCs/>
          <w:color w:val="000000"/>
          <w:spacing w:val="0"/>
          <w:sz w:val="32"/>
          <w:szCs w:val="32"/>
          <w:highlight w:val="none"/>
          <w:lang w:val="en-US" w:eastAsia="zh-CN"/>
        </w:rPr>
        <w:t>2</w:t>
      </w:r>
      <w:r>
        <w:rPr>
          <w:rFonts w:hint="eastAsia" w:ascii="Times New Roman" w:hAnsi="Times New Roman" w:eastAsia="仿宋_GB2312" w:cs="仿宋_GB2312"/>
          <w:bCs/>
          <w:color w:val="000000"/>
          <w:spacing w:val="0"/>
          <w:sz w:val="32"/>
          <w:szCs w:val="32"/>
          <w:highlight w:val="none"/>
        </w:rPr>
        <w:t>．住房保障支出（类）住房改革支出（款）住房公积金（项）：指行政事业单位按人力资源和社会保障部、财政部规定的基本工资和津贴补贴以及规定比例为职工缴纳的住房公积金。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kinsoku/>
        <w:wordWrap/>
        <w:overflowPunct/>
        <w:topLinePunct w:val="0"/>
        <w:autoSpaceDE/>
        <w:autoSpaceDN/>
        <w:bidi w:val="0"/>
        <w:adjustRightInd/>
        <w:snapToGrid/>
        <w:spacing w:line="560" w:lineRule="exact"/>
        <w:ind w:left="5746" w:leftChars="2584" w:hanging="320" w:hangingChars="100"/>
        <w:textAlignment w:val="auto"/>
        <w:rPr>
          <w:rFonts w:hint="eastAsia" w:ascii="Times New Roman" w:hAnsi="Times New Roman" w:eastAsia="仿宋_GB2312"/>
          <w:color w:val="000000"/>
          <w:spacing w:val="0"/>
          <w:sz w:val="32"/>
          <w:highlight w:val="none"/>
          <w:lang w:val="en-US"/>
        </w:rPr>
      </w:pPr>
      <w:r>
        <w:rPr>
          <w:rFonts w:hint="eastAsia" w:ascii="Times New Roman" w:hAnsi="Times New Roman" w:eastAsia="仿宋_GB2312" w:cs="仿宋_GB2312"/>
          <w:spacing w:val="0"/>
          <w:sz w:val="32"/>
          <w:szCs w:val="32"/>
          <w:highlight w:val="none"/>
        </w:rPr>
        <w:t>金华市林业技术推广站 2021年</w:t>
      </w:r>
      <w:r>
        <w:rPr>
          <w:rFonts w:hint="eastAsia" w:ascii="Times New Roman" w:hAnsi="Times New Roman" w:eastAsia="仿宋_GB2312" w:cs="仿宋_GB2312"/>
          <w:spacing w:val="0"/>
          <w:sz w:val="32"/>
          <w:szCs w:val="32"/>
          <w:highlight w:val="none"/>
          <w:lang w:val="en-US" w:eastAsia="zh-CN"/>
        </w:rPr>
        <w:t>9</w:t>
      </w:r>
      <w:r>
        <w:rPr>
          <w:rFonts w:hint="eastAsia" w:ascii="Times New Roman" w:hAnsi="Times New Roman" w:eastAsia="仿宋_GB2312" w:cs="仿宋_GB2312"/>
          <w:spacing w:val="0"/>
          <w:sz w:val="32"/>
          <w:szCs w:val="32"/>
          <w:highlight w:val="none"/>
        </w:rPr>
        <w:t>月</w:t>
      </w:r>
      <w:r>
        <w:rPr>
          <w:rFonts w:hint="eastAsia" w:ascii="Times New Roman" w:hAnsi="Times New Roman" w:eastAsia="仿宋_GB2312" w:cs="仿宋_GB2312"/>
          <w:spacing w:val="0"/>
          <w:sz w:val="32"/>
          <w:szCs w:val="32"/>
          <w:highlight w:val="none"/>
          <w:lang w:val="en-US" w:eastAsia="zh-CN"/>
        </w:rPr>
        <w:t>23</w:t>
      </w:r>
      <w:r>
        <w:rPr>
          <w:rFonts w:hint="eastAsia" w:ascii="Times New Roman" w:hAnsi="Times New Roman" w:eastAsia="仿宋_GB2312" w:cs="仿宋_GB2312"/>
          <w:spacing w:val="0"/>
          <w:sz w:val="32"/>
          <w:szCs w:val="32"/>
          <w:highlight w:val="none"/>
        </w:rPr>
        <w:t xml:space="preserve">日   </w:t>
      </w:r>
      <w:r>
        <w:rPr>
          <w:rFonts w:hint="eastAsia" w:ascii="Times New Roman" w:hAnsi="Times New Roman" w:eastAsia="仿宋_GB2312" w:cs="Times New Roman"/>
          <w:spacing w:val="0"/>
          <w:sz w:val="32"/>
          <w:szCs w:val="32"/>
          <w:highlight w:val="none"/>
        </w:rPr>
        <w:t xml:space="preserve">                                             </w:t>
      </w:r>
    </w:p>
    <w:p>
      <w:pPr>
        <w:spacing w:beforeLines="0" w:afterLines="0"/>
        <w:jc w:val="left"/>
        <w:rPr>
          <w:rFonts w:hint="eastAsia" w:ascii="Times New Roman" w:hAnsi="Times New Roman"/>
          <w:color w:val="auto"/>
          <w:spacing w:val="0"/>
          <w:kern w:val="0"/>
          <w:sz w:val="18"/>
          <w:highlight w:val="none"/>
          <w:lang w:val="zh-CN"/>
        </w:rPr>
      </w:pPr>
    </w:p>
    <w:p>
      <w:pPr>
        <w:spacing w:beforeLines="0" w:afterLines="0"/>
        <w:jc w:val="left"/>
        <w:rPr>
          <w:rFonts w:hint="eastAsia" w:ascii="Times New Roman" w:hAnsi="Times New Roman"/>
          <w:color w:val="auto"/>
          <w:spacing w:val="0"/>
          <w:kern w:val="0"/>
          <w:sz w:val="18"/>
          <w:highlight w:val="none"/>
          <w:lang w:val="zh-CN"/>
        </w:rPr>
      </w:pPr>
    </w:p>
    <w:p>
      <w:pPr>
        <w:spacing w:beforeLines="0" w:afterLines="0"/>
        <w:jc w:val="left"/>
        <w:rPr>
          <w:rFonts w:hint="eastAsia" w:ascii="Times New Roman" w:hAnsi="Times New Roman" w:eastAsia="黑体"/>
          <w:color w:val="auto"/>
          <w:spacing w:val="0"/>
          <w:sz w:val="44"/>
          <w:highlight w:val="none"/>
          <w:lang w:val="en-US"/>
        </w:rPr>
      </w:pPr>
    </w:p>
    <w:p>
      <w:pPr>
        <w:spacing w:beforeLines="0" w:afterLines="0"/>
        <w:jc w:val="left"/>
        <w:rPr>
          <w:rFonts w:hint="eastAsia" w:ascii="Times New Roman" w:hAnsi="Times New Roman"/>
          <w:color w:val="auto"/>
          <w:spacing w:val="0"/>
          <w:kern w:val="0"/>
          <w:sz w:val="18"/>
          <w:highlight w:val="none"/>
          <w:lang w:val="zh-CN"/>
        </w:rPr>
      </w:pPr>
    </w:p>
    <w:p>
      <w:pPr>
        <w:spacing w:beforeLines="0" w:afterLines="0"/>
        <w:jc w:val="left"/>
        <w:rPr>
          <w:rFonts w:hint="eastAsia" w:ascii="Times New Roman" w:hAnsi="Times New Roman"/>
          <w:color w:val="auto"/>
          <w:spacing w:val="0"/>
          <w:kern w:val="0"/>
          <w:sz w:val="18"/>
          <w:highlight w:val="none"/>
          <w:lang w:val="zh-CN"/>
        </w:rPr>
      </w:pPr>
    </w:p>
    <w:p>
      <w:pPr>
        <w:rPr>
          <w:rFonts w:ascii="Times New Roman" w:hAnsi="Times New Roman"/>
          <w:spacing w:val="0"/>
          <w:highlight w:val="none"/>
        </w:rPr>
      </w:pPr>
    </w:p>
    <w:sectPr>
      <w:footerReference r:id="rId3" w:type="default"/>
      <w:pgSz w:w="12240" w:h="15840"/>
      <w:pgMar w:top="1440" w:right="1800" w:bottom="1440" w:left="1800" w:header="720" w:footer="720" w:gutter="0"/>
      <w:lnNumType w:countBy="0" w:distance="36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等线">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swiss"/>
    <w:pitch w:val="default"/>
    <w:sig w:usb0="00000001" w:usb1="02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Noto Sans Warang Citi">
    <w:altName w:val="Segoe Print"/>
    <w:panose1 w:val="020B0502040504020204"/>
    <w:charset w:val="00"/>
    <w:family w:val="auto"/>
    <w:pitch w:val="default"/>
    <w:sig w:usb0="00000000" w:usb1="00000000" w:usb2="00000000" w:usb3="00000000" w:csb0="00000001" w:csb1="0000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B3B17"/>
    <w:multiLevelType w:val="singleLevel"/>
    <w:tmpl w:val="FD7B3B17"/>
    <w:lvl w:ilvl="0" w:tentative="0">
      <w:start w:val="7"/>
      <w:numFmt w:val="chineseCounting"/>
      <w:suff w:val="nothing"/>
      <w:lvlText w:val="（%1）"/>
      <w:lvlJc w:val="left"/>
      <w:rPr>
        <w:rFonts w:hint="eastAsia"/>
      </w:rPr>
    </w:lvl>
  </w:abstractNum>
  <w:abstractNum w:abstractNumId="1">
    <w:nsid w:val="3DB18F35"/>
    <w:multiLevelType w:val="singleLevel"/>
    <w:tmpl w:val="3DB18F35"/>
    <w:lvl w:ilvl="0" w:tentative="0">
      <w:start w:val="2"/>
      <w:numFmt w:val="decimal"/>
      <w:suff w:val="nothing"/>
      <w:lvlText w:val="%1、"/>
      <w:lvlJc w:val="left"/>
    </w:lvl>
  </w:abstractNum>
  <w:abstractNum w:abstractNumId="2">
    <w:nsid w:val="614A92BD"/>
    <w:multiLevelType w:val="singleLevel"/>
    <w:tmpl w:val="614A92BD"/>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03A93"/>
    <w:rsid w:val="01F87C3B"/>
    <w:rsid w:val="0277017D"/>
    <w:rsid w:val="07462F75"/>
    <w:rsid w:val="07EC2141"/>
    <w:rsid w:val="080840E3"/>
    <w:rsid w:val="0BA05A05"/>
    <w:rsid w:val="0FC648CD"/>
    <w:rsid w:val="112C2396"/>
    <w:rsid w:val="114E25C0"/>
    <w:rsid w:val="165D1EF8"/>
    <w:rsid w:val="190D362D"/>
    <w:rsid w:val="19770E56"/>
    <w:rsid w:val="1E075692"/>
    <w:rsid w:val="2098648D"/>
    <w:rsid w:val="209A4590"/>
    <w:rsid w:val="20A566E2"/>
    <w:rsid w:val="222F3061"/>
    <w:rsid w:val="226B648C"/>
    <w:rsid w:val="23A37D5F"/>
    <w:rsid w:val="280977E3"/>
    <w:rsid w:val="296D6E89"/>
    <w:rsid w:val="2B44763F"/>
    <w:rsid w:val="2E4C1697"/>
    <w:rsid w:val="2E835610"/>
    <w:rsid w:val="2F464EEF"/>
    <w:rsid w:val="2F8A2E9D"/>
    <w:rsid w:val="34885317"/>
    <w:rsid w:val="36512FED"/>
    <w:rsid w:val="3B7FB190"/>
    <w:rsid w:val="3BBE6936"/>
    <w:rsid w:val="3BD87670"/>
    <w:rsid w:val="3C2F4F5C"/>
    <w:rsid w:val="3C3F8D1A"/>
    <w:rsid w:val="3CEC6ECD"/>
    <w:rsid w:val="3EFD4CE3"/>
    <w:rsid w:val="3F5F0709"/>
    <w:rsid w:val="3F7F5D33"/>
    <w:rsid w:val="3FF54119"/>
    <w:rsid w:val="3FF960E6"/>
    <w:rsid w:val="439D23B9"/>
    <w:rsid w:val="4681753F"/>
    <w:rsid w:val="475F783B"/>
    <w:rsid w:val="49382F17"/>
    <w:rsid w:val="4B05606E"/>
    <w:rsid w:val="4C690107"/>
    <w:rsid w:val="4DB24C62"/>
    <w:rsid w:val="4DD50F66"/>
    <w:rsid w:val="4EB544A3"/>
    <w:rsid w:val="4EDA5CFE"/>
    <w:rsid w:val="4F410D30"/>
    <w:rsid w:val="4FA577AE"/>
    <w:rsid w:val="503134A2"/>
    <w:rsid w:val="508228AD"/>
    <w:rsid w:val="52E856CB"/>
    <w:rsid w:val="545A6148"/>
    <w:rsid w:val="549046B4"/>
    <w:rsid w:val="54CB13C1"/>
    <w:rsid w:val="550D5AFD"/>
    <w:rsid w:val="57704C59"/>
    <w:rsid w:val="587B2D73"/>
    <w:rsid w:val="59AD3288"/>
    <w:rsid w:val="5B3F7BAB"/>
    <w:rsid w:val="5B795F10"/>
    <w:rsid w:val="5C9C4B0F"/>
    <w:rsid w:val="5CC85B1E"/>
    <w:rsid w:val="5E5125BE"/>
    <w:rsid w:val="5E515507"/>
    <w:rsid w:val="5FF5F893"/>
    <w:rsid w:val="610706B0"/>
    <w:rsid w:val="61120923"/>
    <w:rsid w:val="61FE658F"/>
    <w:rsid w:val="624E62D9"/>
    <w:rsid w:val="64D6411D"/>
    <w:rsid w:val="660B17EE"/>
    <w:rsid w:val="670B42D7"/>
    <w:rsid w:val="67FC5B68"/>
    <w:rsid w:val="691B38C4"/>
    <w:rsid w:val="6AFA6245"/>
    <w:rsid w:val="6BF216D5"/>
    <w:rsid w:val="6D2A70B2"/>
    <w:rsid w:val="6DC74082"/>
    <w:rsid w:val="6E8039B6"/>
    <w:rsid w:val="6F086D42"/>
    <w:rsid w:val="6F9B78F1"/>
    <w:rsid w:val="70E34FF6"/>
    <w:rsid w:val="712D5EE4"/>
    <w:rsid w:val="72C940EA"/>
    <w:rsid w:val="769A4D0C"/>
    <w:rsid w:val="78880ECF"/>
    <w:rsid w:val="7ABC41B5"/>
    <w:rsid w:val="7BDB3FA9"/>
    <w:rsid w:val="7C7409DF"/>
    <w:rsid w:val="7C91028D"/>
    <w:rsid w:val="7E910084"/>
    <w:rsid w:val="7EB54489"/>
    <w:rsid w:val="7F6FF3A5"/>
    <w:rsid w:val="7F9344EA"/>
    <w:rsid w:val="7FFF1DB3"/>
    <w:rsid w:val="87BDC8BA"/>
    <w:rsid w:val="ADFD5769"/>
    <w:rsid w:val="AEB333D2"/>
    <w:rsid w:val="AF3FF63C"/>
    <w:rsid w:val="AFEF71C0"/>
    <w:rsid w:val="B5AFBF2B"/>
    <w:rsid w:val="B6FCAA1F"/>
    <w:rsid w:val="C7515FDD"/>
    <w:rsid w:val="C7FD78C8"/>
    <w:rsid w:val="D7FFCA0D"/>
    <w:rsid w:val="DAF58E22"/>
    <w:rsid w:val="DBAF46A0"/>
    <w:rsid w:val="DF9E9705"/>
    <w:rsid w:val="DFFFD611"/>
    <w:rsid w:val="E377276A"/>
    <w:rsid w:val="F9F7DB7F"/>
    <w:rsid w:val="FCFB2A0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2021-09-17T07:57:00Z</dcterms:created>
  <dc:creator>lenooo</dc:creator>
  <cp:lastModifiedBy>徐啸</cp:lastModifiedBy>
  <cp:lastPrinted>2021-09-23T06:53:00Z</cp:lastPrinted>
  <dcterms:modified xsi:type="dcterms:W3CDTF">2021-09-24T08:22:50Z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