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24" w:lineRule="auto"/>
        <w:jc w:val="center"/>
        <w:rPr>
          <w:rFonts w:hint="eastAsia" w:ascii="黑体" w:hAnsi="黑体" w:eastAsia="黑体"/>
          <w:b/>
          <w:color w:val="000000"/>
          <w:sz w:val="44"/>
          <w:highlight w:val="white"/>
        </w:rPr>
      </w:pPr>
      <w:r>
        <w:rPr>
          <w:rFonts w:hint="eastAsia" w:ascii="黑体" w:hAnsi="黑体" w:eastAsia="黑体"/>
          <w:b/>
          <w:spacing w:val="15"/>
          <w:sz w:val="44"/>
          <w:highlight w:val="white"/>
          <w:lang w:eastAsia="zh-CN"/>
        </w:rPr>
        <w:t>金华市林业种苗管理站</w:t>
      </w:r>
      <w:r>
        <w:rPr>
          <w:rFonts w:hint="eastAsia" w:ascii="黑体" w:hAnsi="黑体" w:eastAsia="黑体"/>
          <w:b/>
          <w:color w:val="000000"/>
          <w:sz w:val="44"/>
          <w:highlight w:val="white"/>
        </w:rPr>
        <w:t>单位决算</w:t>
      </w:r>
    </w:p>
    <w:p>
      <w:pPr>
        <w:spacing w:beforeLines="0" w:afterLines="0" w:line="324" w:lineRule="auto"/>
        <w:jc w:val="center"/>
        <w:rPr>
          <w:rFonts w:hint="eastAsia" w:ascii="黑体" w:hAnsi="黑体" w:eastAsia="黑体"/>
          <w:b/>
          <w:color w:val="000000"/>
          <w:sz w:val="44"/>
          <w:highlight w:val="white"/>
        </w:rPr>
      </w:pPr>
      <w:r>
        <w:rPr>
          <w:rFonts w:hint="eastAsia" w:ascii="黑体" w:hAnsi="黑体" w:eastAsia="黑体"/>
          <w:b/>
          <w:color w:val="000000"/>
          <w:sz w:val="44"/>
          <w:highlight w:val="white"/>
        </w:rPr>
        <w:t>目录</w:t>
      </w:r>
    </w:p>
    <w:p>
      <w:pPr>
        <w:spacing w:beforeLines="0" w:afterLines="0" w:line="324" w:lineRule="auto"/>
        <w:ind w:firstLine="600"/>
        <w:rPr>
          <w:rFonts w:hint="eastAsia" w:ascii="黑体" w:hAnsi="黑体" w:eastAsia="黑体"/>
          <w:b/>
          <w:color w:val="000000"/>
          <w:sz w:val="32"/>
          <w:highlight w:val="white"/>
          <w:lang w:val="en-US"/>
        </w:rPr>
      </w:pP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一、概况..............................................................</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（一）部门（单位）职责................................................</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（二）机构设置........................................................</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sz w:val="22"/>
        </w:rPr>
        <w:t>二、</w:t>
      </w:r>
      <w:r>
        <w:rPr>
          <w:rFonts w:hint="eastAsia" w:ascii="等线" w:hAnsi="等线" w:eastAsia="等线"/>
          <w:color w:val="000000"/>
          <w:sz w:val="22"/>
          <w:highlight w:val="white"/>
        </w:rPr>
        <w:t>2020年度部门（单位）决算公开表....................................</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sz w:val="22"/>
          <w:highlight w:val="white"/>
          <w:lang w:val="zh-CN"/>
        </w:rPr>
        <w:t>三、</w:t>
      </w:r>
      <w:r>
        <w:rPr>
          <w:rFonts w:hint="eastAsia" w:ascii="等线" w:hAnsi="等线" w:eastAsia="等线"/>
          <w:color w:val="000000"/>
          <w:sz w:val="22"/>
          <w:highlight w:val="white"/>
        </w:rPr>
        <w:t>2020年度部门（单位）决算情况说明..................................</w:t>
      </w:r>
      <w:r>
        <w:rPr>
          <w:rFonts w:hint="eastAsia" w:ascii="等线" w:hAnsi="等线" w:eastAsia="等线"/>
          <w:sz w:val="22"/>
        </w:rPr>
        <w:t xml:space="preserve">( </w:t>
      </w:r>
      <w:r>
        <w:rPr>
          <w:rFonts w:hint="eastAsia" w:ascii="等线" w:hAnsi="等线" w:eastAsia="等线"/>
          <w:sz w:val="22"/>
          <w:lang w:val="en-US" w:eastAsia="zh-CN"/>
        </w:rPr>
        <w:t>1-12</w:t>
      </w:r>
      <w:bookmarkStart w:id="0" w:name="_GoBack"/>
      <w:bookmarkEnd w:id="0"/>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（一）收入支出决算总体情况说明.........................................</w:t>
      </w:r>
      <w:r>
        <w:rPr>
          <w:rFonts w:hint="eastAsia" w:ascii="等线" w:hAnsi="等线" w:eastAsia="等线"/>
          <w:sz w:val="22"/>
        </w:rPr>
        <w:t xml:space="preserve">( </w:t>
      </w:r>
      <w:r>
        <w:rPr>
          <w:rFonts w:hint="eastAsia" w:ascii="等线" w:hAnsi="等线" w:eastAsia="等线"/>
          <w:sz w:val="22"/>
          <w:lang w:val="en-US" w:eastAsia="zh-CN"/>
        </w:rPr>
        <w:t xml:space="preserve">1-2 </w:t>
      </w:r>
      <w:r>
        <w:rPr>
          <w:rFonts w:hint="eastAsia" w:ascii="等线" w:hAnsi="等线" w:eastAsia="等线"/>
          <w:sz w:val="22"/>
        </w:rPr>
        <w:t>)</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（二）收入决算情况说明.................................................</w:t>
      </w:r>
      <w:r>
        <w:rPr>
          <w:rFonts w:hint="eastAsia" w:ascii="等线" w:hAnsi="等线" w:eastAsia="等线"/>
          <w:sz w:val="22"/>
        </w:rPr>
        <w:t xml:space="preserve">( </w:t>
      </w:r>
      <w:r>
        <w:rPr>
          <w:rFonts w:hint="eastAsia" w:ascii="等线" w:hAnsi="等线" w:eastAsia="等线"/>
          <w:sz w:val="22"/>
          <w:lang w:val="en-US" w:eastAsia="zh-CN"/>
        </w:rPr>
        <w:t>2</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（三）支出决算情况说明.................................................</w:t>
      </w:r>
      <w:r>
        <w:rPr>
          <w:rFonts w:hint="eastAsia" w:ascii="等线" w:hAnsi="等线" w:eastAsia="等线"/>
          <w:sz w:val="22"/>
        </w:rPr>
        <w:t xml:space="preserve">( </w:t>
      </w:r>
      <w:r>
        <w:rPr>
          <w:rFonts w:hint="eastAsia" w:ascii="等线" w:hAnsi="等线" w:eastAsia="等线"/>
          <w:sz w:val="22"/>
          <w:lang w:val="en-US" w:eastAsia="zh-CN"/>
        </w:rPr>
        <w:t>2</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（四）财政拨款收入支出决算总体情况说明.................................</w:t>
      </w:r>
      <w:r>
        <w:rPr>
          <w:rFonts w:hint="eastAsia" w:ascii="等线" w:hAnsi="等线" w:eastAsia="等线"/>
          <w:sz w:val="22"/>
        </w:rPr>
        <w:t xml:space="preserve">( </w:t>
      </w:r>
      <w:r>
        <w:rPr>
          <w:rFonts w:hint="eastAsia" w:ascii="等线" w:hAnsi="等线" w:eastAsia="等线"/>
          <w:sz w:val="22"/>
          <w:lang w:val="en-US" w:eastAsia="zh-CN"/>
        </w:rPr>
        <w:t>2</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（五）一般公共预算财政拨款支出决算情况说明.............................</w:t>
      </w:r>
      <w:r>
        <w:rPr>
          <w:rFonts w:hint="eastAsia" w:ascii="等线" w:hAnsi="等线" w:eastAsia="等线"/>
          <w:sz w:val="22"/>
        </w:rPr>
        <w:t xml:space="preserve">( </w:t>
      </w:r>
      <w:r>
        <w:rPr>
          <w:rFonts w:hint="eastAsia" w:ascii="等线" w:hAnsi="等线" w:eastAsia="等线"/>
          <w:sz w:val="22"/>
          <w:lang w:val="en-US" w:eastAsia="zh-CN"/>
        </w:rPr>
        <w:t>3-5</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（六）一般公共预算财政拨款基本支出决算情况说明.........................</w:t>
      </w:r>
      <w:r>
        <w:rPr>
          <w:rFonts w:hint="eastAsia" w:ascii="等线" w:hAnsi="等线" w:eastAsia="等线"/>
          <w:sz w:val="22"/>
        </w:rPr>
        <w:t xml:space="preserve">( </w:t>
      </w:r>
      <w:r>
        <w:rPr>
          <w:rFonts w:hint="eastAsia" w:ascii="等线" w:hAnsi="等线" w:eastAsia="等线"/>
          <w:sz w:val="22"/>
          <w:lang w:val="en-US" w:eastAsia="zh-CN"/>
        </w:rPr>
        <w:t>5-6</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（七）政府性基金预算财政拨款支出</w:t>
      </w:r>
      <w:r>
        <w:rPr>
          <w:rFonts w:hint="eastAsia" w:ascii="等线" w:hAnsi="等线" w:eastAsia="等线"/>
          <w:color w:val="000000"/>
          <w:sz w:val="22"/>
          <w:highlight w:val="white"/>
          <w:lang w:val="zh-CN"/>
        </w:rPr>
        <w:t>决算</w:t>
      </w:r>
      <w:r>
        <w:rPr>
          <w:rFonts w:hint="eastAsia" w:ascii="等线" w:hAnsi="等线" w:eastAsia="等线"/>
          <w:color w:val="000000"/>
          <w:sz w:val="22"/>
          <w:highlight w:val="white"/>
        </w:rPr>
        <w:t>总体情况说明.......................</w:t>
      </w:r>
      <w:r>
        <w:rPr>
          <w:rFonts w:hint="eastAsia" w:ascii="等线" w:hAnsi="等线" w:eastAsia="等线"/>
          <w:sz w:val="22"/>
        </w:rPr>
        <w:t xml:space="preserve">( </w:t>
      </w:r>
      <w:r>
        <w:rPr>
          <w:rFonts w:hint="eastAsia" w:ascii="等线" w:hAnsi="等线" w:eastAsia="等线"/>
          <w:sz w:val="22"/>
          <w:lang w:val="en-US" w:eastAsia="zh-CN"/>
        </w:rPr>
        <w:t>6</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（八）国有资本经营预算财政拨款支出</w:t>
      </w:r>
      <w:r>
        <w:rPr>
          <w:rFonts w:hint="eastAsia" w:ascii="等线" w:hAnsi="等线" w:eastAsia="等线"/>
          <w:color w:val="000000"/>
          <w:sz w:val="22"/>
          <w:highlight w:val="white"/>
          <w:lang w:val="zh-CN"/>
        </w:rPr>
        <w:t>决算</w:t>
      </w:r>
      <w:r>
        <w:rPr>
          <w:rFonts w:hint="eastAsia" w:ascii="等线" w:hAnsi="等线" w:eastAsia="等线"/>
          <w:color w:val="000000"/>
          <w:sz w:val="22"/>
          <w:highlight w:val="white"/>
        </w:rPr>
        <w:t>总体情况说明.....................</w:t>
      </w:r>
      <w:r>
        <w:rPr>
          <w:rFonts w:hint="eastAsia" w:ascii="等线" w:hAnsi="等线" w:eastAsia="等线"/>
          <w:sz w:val="22"/>
        </w:rPr>
        <w:t xml:space="preserve">( </w:t>
      </w:r>
      <w:r>
        <w:rPr>
          <w:rFonts w:hint="eastAsia" w:ascii="等线" w:hAnsi="等线" w:eastAsia="等线"/>
          <w:sz w:val="22"/>
          <w:lang w:val="en-US" w:eastAsia="zh-CN"/>
        </w:rPr>
        <w:t>6</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（九）一般公共预算财政拨款“三公”经费支出决算情况说明.................</w:t>
      </w:r>
      <w:r>
        <w:rPr>
          <w:rFonts w:hint="eastAsia" w:ascii="等线" w:hAnsi="等线" w:eastAsia="等线"/>
          <w:sz w:val="22"/>
        </w:rPr>
        <w:t xml:space="preserve">( </w:t>
      </w:r>
      <w:r>
        <w:rPr>
          <w:rFonts w:hint="eastAsia" w:ascii="等线" w:hAnsi="等线" w:eastAsia="等线"/>
          <w:sz w:val="22"/>
          <w:lang w:val="en-US" w:eastAsia="zh-CN"/>
        </w:rPr>
        <w:t xml:space="preserve">6-8 </w:t>
      </w:r>
      <w:r>
        <w:rPr>
          <w:rFonts w:hint="eastAsia" w:ascii="等线" w:hAnsi="等线" w:eastAsia="等线"/>
          <w:sz w:val="22"/>
        </w:rPr>
        <w:t>)</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（十）机关运行经费支出说明.............................................</w:t>
      </w:r>
      <w:r>
        <w:rPr>
          <w:rFonts w:hint="eastAsia" w:ascii="等线" w:hAnsi="等线" w:eastAsia="等线"/>
          <w:sz w:val="22"/>
        </w:rPr>
        <w:t xml:space="preserve">( </w:t>
      </w:r>
      <w:r>
        <w:rPr>
          <w:rFonts w:hint="eastAsia" w:ascii="等线" w:hAnsi="等线" w:eastAsia="等线"/>
          <w:sz w:val="22"/>
          <w:lang w:val="en-US" w:eastAsia="zh-CN"/>
        </w:rPr>
        <w:t>8-9</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（十一）政府采购支出说明...............................................</w:t>
      </w:r>
      <w:r>
        <w:rPr>
          <w:rFonts w:hint="eastAsia" w:ascii="等线" w:hAnsi="等线" w:eastAsia="等线"/>
          <w:sz w:val="22"/>
        </w:rPr>
        <w:t xml:space="preserve">( </w:t>
      </w:r>
      <w:r>
        <w:rPr>
          <w:rFonts w:hint="eastAsia" w:ascii="等线" w:hAnsi="等线" w:eastAsia="等线"/>
          <w:sz w:val="22"/>
          <w:lang w:val="en-US" w:eastAsia="zh-CN"/>
        </w:rPr>
        <w:t>9</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（十二）国有资产占有情况说明...........................................</w:t>
      </w:r>
      <w:r>
        <w:rPr>
          <w:rFonts w:hint="eastAsia" w:ascii="等线" w:hAnsi="等线" w:eastAsia="等线"/>
          <w:sz w:val="22"/>
        </w:rPr>
        <w:t xml:space="preserve">( </w:t>
      </w:r>
      <w:r>
        <w:rPr>
          <w:rFonts w:hint="eastAsia" w:ascii="等线" w:hAnsi="等线" w:eastAsia="等线"/>
          <w:sz w:val="22"/>
          <w:lang w:val="en-US" w:eastAsia="zh-CN"/>
        </w:rPr>
        <w:t>9</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（十三）预算绩效情况说明...............................................</w:t>
      </w:r>
      <w:r>
        <w:rPr>
          <w:rFonts w:hint="eastAsia" w:ascii="等线" w:hAnsi="等线" w:eastAsia="等线"/>
          <w:sz w:val="22"/>
        </w:rPr>
        <w:t xml:space="preserve">( </w:t>
      </w:r>
      <w:r>
        <w:rPr>
          <w:rFonts w:hint="eastAsia" w:ascii="等线" w:hAnsi="等线" w:eastAsia="等线"/>
          <w:sz w:val="22"/>
          <w:lang w:val="en-US" w:eastAsia="zh-CN"/>
        </w:rPr>
        <w:t>9-12</w:t>
      </w:r>
      <w:r>
        <w:rPr>
          <w:rFonts w:hint="eastAsia" w:ascii="等线" w:hAnsi="等线" w:eastAsia="等线"/>
          <w:sz w:val="22"/>
        </w:rPr>
        <w:t xml:space="preserve"> )</w:t>
      </w:r>
    </w:p>
    <w:p>
      <w:pPr>
        <w:spacing w:beforeLines="0" w:afterLines="0" w:line="560" w:lineRule="exact"/>
        <w:jc w:val="left"/>
        <w:rPr>
          <w:rFonts w:hint="eastAsia" w:ascii="黑体" w:hAnsi="黑体" w:eastAsia="黑体"/>
          <w:b/>
          <w:color w:val="000000"/>
          <w:sz w:val="32"/>
          <w:highlight w:val="white"/>
          <w:lang w:val="en-US"/>
        </w:rPr>
      </w:pPr>
      <w:r>
        <w:rPr>
          <w:rFonts w:hint="eastAsia" w:ascii="等线" w:hAnsi="等线" w:eastAsia="等线"/>
          <w:color w:val="000000"/>
          <w:sz w:val="22"/>
          <w:highlight w:val="white"/>
        </w:rPr>
        <w:t>四、名词解释...........................................................</w:t>
      </w:r>
      <w:r>
        <w:rPr>
          <w:rFonts w:hint="eastAsia" w:ascii="等线" w:hAnsi="等线" w:eastAsia="等线"/>
          <w:sz w:val="22"/>
        </w:rPr>
        <w:t xml:space="preserve">( </w:t>
      </w:r>
      <w:r>
        <w:rPr>
          <w:rFonts w:hint="eastAsia" w:ascii="等线" w:hAnsi="等线" w:eastAsia="等线"/>
          <w:sz w:val="22"/>
          <w:lang w:val="en-US" w:eastAsia="zh-CN"/>
        </w:rPr>
        <w:t>12-14</w:t>
      </w:r>
      <w:r>
        <w:rPr>
          <w:rFonts w:hint="eastAsia" w:ascii="等线" w:hAnsi="等线" w:eastAsia="等线"/>
          <w:sz w:val="22"/>
        </w:rPr>
        <w:t>)</w:t>
      </w:r>
    </w:p>
    <w:p>
      <w:pPr>
        <w:spacing w:beforeLines="0" w:afterLines="0" w:line="324" w:lineRule="auto"/>
        <w:ind w:firstLine="963" w:firstLineChars="300"/>
        <w:rPr>
          <w:rFonts w:hint="eastAsia" w:ascii="黑体" w:hAnsi="黑体" w:eastAsia="黑体"/>
          <w:b/>
          <w:color w:val="000000"/>
          <w:sz w:val="32"/>
          <w:highlight w:val="white"/>
          <w:lang w:val="en-US"/>
        </w:rPr>
        <w:sectPr>
          <w:headerReference r:id="rId3" w:type="default"/>
          <w:footerReference r:id="rId4" w:type="default"/>
          <w:pgSz w:w="12240" w:h="15840"/>
          <w:pgMar w:top="1440" w:right="1800" w:bottom="1440" w:left="1800" w:header="720" w:footer="720" w:gutter="0"/>
          <w:lnNumType w:countBy="0" w:distance="360"/>
          <w:cols w:space="720" w:num="1"/>
          <w:docGrid w:type="lines" w:linePitch="312" w:charSpace="0"/>
        </w:sectPr>
      </w:pPr>
    </w:p>
    <w:p>
      <w:pPr>
        <w:spacing w:beforeLines="0" w:afterLines="0" w:line="324" w:lineRule="auto"/>
        <w:ind w:firstLine="963" w:firstLineChars="300"/>
        <w:rPr>
          <w:rFonts w:hint="eastAsia" w:ascii="黑体" w:hAnsi="黑体" w:eastAsia="黑体"/>
          <w:b/>
          <w:color w:val="000000"/>
          <w:sz w:val="32"/>
          <w:highlight w:val="white"/>
          <w:lang w:val="en-US"/>
        </w:rPr>
      </w:pPr>
      <w:r>
        <w:rPr>
          <w:rFonts w:hint="eastAsia" w:ascii="黑体" w:hAnsi="黑体" w:eastAsia="黑体"/>
          <w:b/>
          <w:color w:val="000000"/>
          <w:sz w:val="32"/>
          <w:highlight w:val="white"/>
          <w:lang w:val="en-US"/>
        </w:rPr>
        <w:t>一、概况</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（一）单位职责</w:t>
      </w:r>
    </w:p>
    <w:p>
      <w:pPr>
        <w:spacing w:line="560" w:lineRule="exact"/>
        <w:ind w:firstLine="960" w:firstLineChars="3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 xml:space="preserve">1. </w:t>
      </w:r>
      <w:r>
        <w:rPr>
          <w:rFonts w:hint="eastAsia" w:ascii="Times New Roman" w:hAnsi="Times New Roman" w:eastAsia="仿宋_GB2312" w:cs="Times New Roman"/>
          <w:bCs/>
          <w:color w:val="000000"/>
          <w:sz w:val="32"/>
          <w:szCs w:val="32"/>
        </w:rPr>
        <w:t>承担绿化造林的苗木保障工作，指导林业保障性苗圃、林木良种基地的建设和管理。</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开展林木种子及草种技术研究，组织开展林木种子和草种良种选育、繁育推广等工作。</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承担林木种子和草种种质资源调查具体工作，指导林木种质资源库、种质资源保护区（地）建设。</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拟订林业种苗花卉发展规划，指导林业种苗花卉和草业发展。</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承担林木种子、草种质量管理的技术工作。</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承担林木种子及草种生产经营许可、林木品种审（认）定申报等事项的辅助工作。</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（二）机构设置</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从预算单位构成看，</w:t>
      </w:r>
      <w:r>
        <w:rPr>
          <w:rFonts w:hint="eastAsia" w:ascii="仿宋" w:hAnsi="仿宋" w:eastAsia="仿宋"/>
          <w:color w:val="auto"/>
          <w:sz w:val="32"/>
          <w:highlight w:val="white"/>
          <w:lang w:val="zh-CN"/>
        </w:rPr>
        <w:t>金华市林业种苗管理站</w:t>
      </w:r>
      <w:r>
        <w:rPr>
          <w:rFonts w:hint="eastAsia" w:ascii="Times New Roman" w:hAnsi="Times New Roman" w:eastAsia="仿宋_GB2312" w:cs="Times New Roman"/>
          <w:bCs/>
          <w:color w:val="000000"/>
          <w:sz w:val="32"/>
          <w:szCs w:val="32"/>
          <w:lang w:eastAsia="zh-CN"/>
        </w:rPr>
        <w:t>决算</w:t>
      </w:r>
      <w:r>
        <w:rPr>
          <w:rFonts w:ascii="Times New Roman" w:hAnsi="Times New Roman" w:eastAsia="仿宋_GB2312" w:cs="Times New Roman"/>
          <w:bCs/>
          <w:color w:val="000000"/>
          <w:sz w:val="32"/>
          <w:szCs w:val="32"/>
        </w:rPr>
        <w:t>包括</w:t>
      </w:r>
      <w:r>
        <w:rPr>
          <w:rFonts w:hint="eastAsia" w:ascii="Times New Roman" w:hAnsi="Times New Roman" w:eastAsia="仿宋_GB2312" w:cs="Times New Roman"/>
          <w:bCs/>
          <w:color w:val="000000"/>
          <w:sz w:val="32"/>
          <w:szCs w:val="32"/>
        </w:rPr>
        <w:t>本</w:t>
      </w:r>
      <w:r>
        <w:rPr>
          <w:rFonts w:ascii="Times New Roman" w:hAnsi="Times New Roman" w:eastAsia="仿宋_GB2312" w:cs="Times New Roman"/>
          <w:bCs/>
          <w:color w:val="000000"/>
          <w:sz w:val="32"/>
          <w:szCs w:val="32"/>
        </w:rPr>
        <w:t>单位</w:t>
      </w:r>
      <w:r>
        <w:rPr>
          <w:rFonts w:hint="eastAsia" w:ascii="Times New Roman" w:hAnsi="Times New Roman" w:eastAsia="仿宋_GB2312" w:cs="Times New Roman"/>
          <w:bCs/>
          <w:color w:val="000000"/>
          <w:sz w:val="32"/>
          <w:szCs w:val="32"/>
          <w:lang w:eastAsia="zh-CN"/>
        </w:rPr>
        <w:t>决算</w:t>
      </w:r>
      <w:r>
        <w:rPr>
          <w:rFonts w:ascii="Times New Roman" w:hAnsi="Times New Roman" w:eastAsia="仿宋_GB2312" w:cs="Times New Roman"/>
          <w:bCs/>
          <w:color w:val="000000"/>
          <w:sz w:val="32"/>
          <w:szCs w:val="32"/>
        </w:rPr>
        <w:t>。</w:t>
      </w:r>
    </w:p>
    <w:p>
      <w:pPr>
        <w:spacing w:beforeLines="0" w:afterLines="0" w:line="324" w:lineRule="auto"/>
        <w:ind w:firstLine="594"/>
        <w:rPr>
          <w:rFonts w:hint="eastAsia" w:ascii="仿宋" w:hAnsi="仿宋" w:eastAsia="仿宋"/>
          <w:color w:val="auto"/>
          <w:sz w:val="32"/>
          <w:highlight w:val="white"/>
          <w:lang w:val="en-US"/>
        </w:rPr>
      </w:pPr>
      <w:r>
        <w:rPr>
          <w:rFonts w:hint="eastAsia" w:ascii="仿宋" w:hAnsi="仿宋" w:eastAsia="仿宋"/>
          <w:color w:val="auto"/>
          <w:sz w:val="32"/>
          <w:highlight w:val="white"/>
          <w:lang w:val="en-US"/>
        </w:rPr>
        <w:t>从预算单位构成看，本单位</w:t>
      </w:r>
      <w:r>
        <w:rPr>
          <w:rFonts w:hint="eastAsia" w:ascii="仿宋" w:hAnsi="仿宋" w:eastAsia="仿宋"/>
          <w:color w:val="auto"/>
          <w:sz w:val="32"/>
          <w:highlight w:val="white"/>
          <w:lang w:val="en-US" w:eastAsia="zh-CN"/>
        </w:rPr>
        <w:t>无</w:t>
      </w:r>
      <w:r>
        <w:rPr>
          <w:rFonts w:hint="eastAsia" w:ascii="仿宋" w:hAnsi="仿宋" w:eastAsia="仿宋"/>
          <w:color w:val="auto"/>
          <w:sz w:val="32"/>
          <w:highlight w:val="white"/>
          <w:lang w:val="en-US"/>
        </w:rPr>
        <w:t>内设</w:t>
      </w:r>
      <w:r>
        <w:rPr>
          <w:rFonts w:hint="eastAsia" w:ascii="仿宋" w:hAnsi="仿宋" w:eastAsia="仿宋"/>
          <w:color w:val="auto"/>
          <w:sz w:val="32"/>
          <w:highlight w:val="white"/>
          <w:lang w:val="en-US" w:eastAsia="zh-CN"/>
        </w:rPr>
        <w:t>机构。</w:t>
      </w:r>
    </w:p>
    <w:p>
      <w:pPr>
        <w:spacing w:beforeLines="0" w:afterLines="0" w:line="324" w:lineRule="auto"/>
        <w:ind w:firstLine="600"/>
        <w:rPr>
          <w:rFonts w:hint="eastAsia" w:ascii="黑体" w:hAnsi="黑体" w:eastAsia="黑体"/>
          <w:b/>
          <w:color w:val="000000"/>
          <w:sz w:val="32"/>
          <w:highlight w:val="white"/>
          <w:lang w:val="en-US"/>
        </w:rPr>
      </w:pPr>
      <w:r>
        <w:rPr>
          <w:rFonts w:hint="eastAsia" w:ascii="黑体" w:hAnsi="黑体" w:eastAsia="黑体"/>
          <w:b/>
          <w:color w:val="000000"/>
          <w:sz w:val="32"/>
          <w:highlight w:val="white"/>
          <w:lang w:val="en-US"/>
        </w:rPr>
        <w:t>二、2020年度部门（单位）决算公开表</w:t>
      </w:r>
    </w:p>
    <w:p>
      <w:pPr>
        <w:spacing w:beforeLines="0" w:afterLines="0" w:line="324" w:lineRule="auto"/>
        <w:ind w:firstLine="594"/>
        <w:rPr>
          <w:rFonts w:hint="default" w:ascii="Times New Roman" w:hAnsi="Times New Roman" w:eastAsia="Times New Roman"/>
          <w:color w:val="000000"/>
          <w:sz w:val="32"/>
          <w:highlight w:val="white"/>
          <w:lang w:val="en-US"/>
        </w:rPr>
      </w:pPr>
      <w:r>
        <w:rPr>
          <w:rFonts w:hint="eastAsia" w:ascii="仿宋" w:hAnsi="仿宋" w:eastAsia="仿宋"/>
          <w:color w:val="000000"/>
          <w:sz w:val="32"/>
          <w:highlight w:val="white"/>
          <w:lang w:val="en-US"/>
        </w:rPr>
        <w:t>详见附表</w:t>
      </w:r>
      <w:r>
        <w:rPr>
          <w:rFonts w:hint="eastAsia" w:ascii="仿宋_GB2312" w:hAnsi="仿宋_GB2312" w:eastAsia="仿宋_GB2312"/>
          <w:color w:val="000000"/>
          <w:sz w:val="32"/>
          <w:highlight w:val="white"/>
          <w:lang w:val="en-US"/>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黑体" w:hAnsi="黑体" w:eastAsia="黑体"/>
          <w:b/>
          <w:color w:val="auto"/>
          <w:sz w:val="32"/>
          <w:highlight w:val="white"/>
          <w:lang w:val="zh-CN"/>
        </w:rPr>
        <w:t>三、</w:t>
      </w:r>
      <w:r>
        <w:rPr>
          <w:rFonts w:hint="eastAsia" w:ascii="黑体" w:hAnsi="黑体" w:eastAsia="黑体"/>
          <w:b/>
          <w:color w:val="000000"/>
          <w:sz w:val="32"/>
          <w:highlight w:val="white"/>
          <w:lang w:val="en-US"/>
        </w:rPr>
        <w:t>2020年度部门（单位）决算情况说明</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（一）收入支出决算总体情况说明</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仿宋" w:hAnsi="仿宋" w:eastAsia="仿宋"/>
          <w:color w:val="000000"/>
          <w:sz w:val="32"/>
          <w:highlight w:val="white"/>
          <w:lang w:val="en-US"/>
        </w:rPr>
        <w:t>2020年度收入总计216.74万元，支出总计216.74万元,与2019年度相比，各减少</w:t>
      </w:r>
      <w:r>
        <w:rPr>
          <w:rFonts w:hint="eastAsia" w:ascii="仿宋" w:hAnsi="仿宋" w:eastAsia="仿宋"/>
          <w:color w:val="000000"/>
          <w:sz w:val="32"/>
          <w:highlight w:val="white"/>
          <w:lang w:val="en-US" w:eastAsia="zh-CN"/>
        </w:rPr>
        <w:t>5.56</w:t>
      </w:r>
      <w:r>
        <w:rPr>
          <w:rFonts w:hint="eastAsia" w:ascii="仿宋" w:hAnsi="仿宋" w:eastAsia="仿宋"/>
          <w:color w:val="000000"/>
          <w:sz w:val="32"/>
          <w:highlight w:val="white"/>
          <w:lang w:val="en-US"/>
        </w:rPr>
        <w:t>万元，下降</w:t>
      </w:r>
      <w:r>
        <w:rPr>
          <w:rFonts w:hint="eastAsia" w:ascii="仿宋" w:hAnsi="仿宋" w:eastAsia="仿宋"/>
          <w:color w:val="000000"/>
          <w:sz w:val="32"/>
          <w:highlight w:val="white"/>
          <w:lang w:val="en-US" w:eastAsia="zh-CN"/>
        </w:rPr>
        <w:t>2.50</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人员减少</w:t>
      </w:r>
      <w:r>
        <w:rPr>
          <w:rFonts w:hint="eastAsia" w:ascii="仿宋" w:hAnsi="仿宋" w:eastAsia="仿宋"/>
          <w:color w:val="000000"/>
          <w:sz w:val="32"/>
          <w:highlight w:val="white"/>
          <w:lang w:val="en-US"/>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（二）收入决算情况说明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收入合计216.74万元；包括财政拨款收入216.74万元（其中，一般公共预算216.74万元，政府性基金预算0万元,国有资本经营预算0万元），占收入合计100%；上级补助收入0万元，占收入合计0%；事业收入0万元，占收入合计0%；经营收入0万元，占收入合计0%；附属单位上缴收入0万元，占收入合计0%；其他收入0万元，占收入合计0%。</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（三）支出决算情况说明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本年支出合计216.74万元，其中基本支出214.72万元，占99.07%；项目支出2.02万元，占0.93%；上缴上级支出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万元，占0%；经营支出0万元，占0%；对附属单位补助支出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（四）财政拨款收入支出决算总体情况说明</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2020年度财政拨款收入总计216.74万元，支出总计216.74万元，与2019年相比，减少</w:t>
      </w:r>
      <w:r>
        <w:rPr>
          <w:rFonts w:hint="eastAsia" w:ascii="仿宋" w:hAnsi="仿宋" w:eastAsia="仿宋"/>
          <w:color w:val="000000"/>
          <w:sz w:val="32"/>
          <w:highlight w:val="white"/>
          <w:lang w:val="en-US" w:eastAsia="zh-CN"/>
        </w:rPr>
        <w:t>4.3</w:t>
      </w:r>
      <w:r>
        <w:rPr>
          <w:rFonts w:hint="eastAsia" w:ascii="仿宋" w:hAnsi="仿宋" w:eastAsia="仿宋"/>
          <w:color w:val="000000"/>
          <w:sz w:val="32"/>
          <w:highlight w:val="white"/>
          <w:lang w:val="en-US"/>
        </w:rPr>
        <w:t>万元，下降</w:t>
      </w:r>
      <w:r>
        <w:rPr>
          <w:rFonts w:hint="eastAsia" w:ascii="仿宋" w:hAnsi="仿宋" w:eastAsia="仿宋"/>
          <w:color w:val="000000"/>
          <w:sz w:val="32"/>
          <w:highlight w:val="white"/>
          <w:lang w:val="en-US" w:eastAsia="zh-CN"/>
        </w:rPr>
        <w:t>1.95</w:t>
      </w:r>
      <w:r>
        <w:rPr>
          <w:rFonts w:hint="eastAsia" w:ascii="仿宋" w:hAnsi="仿宋" w:eastAsia="仿宋"/>
          <w:color w:val="000000"/>
          <w:sz w:val="32"/>
          <w:highlight w:val="white"/>
          <w:lang w:val="en-US"/>
        </w:rPr>
        <w:t>%。主要原因是</w:t>
      </w:r>
      <w:r>
        <w:rPr>
          <w:rFonts w:hint="eastAsia" w:ascii="仿宋" w:hAnsi="仿宋" w:eastAsia="仿宋"/>
          <w:color w:val="auto"/>
          <w:sz w:val="32"/>
          <w:highlight w:val="white"/>
          <w:lang w:val="en-US" w:eastAsia="zh-CN"/>
        </w:rPr>
        <w:t>人员减少</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财政拨款支出年初预算数</w:t>
      </w:r>
      <w:r>
        <w:rPr>
          <w:rFonts w:hint="eastAsia" w:ascii="仿宋" w:hAnsi="仿宋" w:eastAsia="仿宋"/>
          <w:color w:val="000000"/>
          <w:sz w:val="32"/>
          <w:highlight w:val="white"/>
          <w:lang w:val="en-US" w:eastAsia="zh-CN"/>
        </w:rPr>
        <w:t>219.39</w:t>
      </w:r>
      <w:r>
        <w:rPr>
          <w:rFonts w:hint="eastAsia" w:ascii="仿宋" w:hAnsi="仿宋" w:eastAsia="仿宋"/>
          <w:color w:val="000000"/>
          <w:sz w:val="32"/>
          <w:highlight w:val="white"/>
          <w:lang w:val="en-US"/>
        </w:rPr>
        <w:t>万元，</w:t>
      </w:r>
      <w:r>
        <w:rPr>
          <w:rFonts w:hint="eastAsia" w:ascii="仿宋" w:hAnsi="仿宋" w:eastAsia="仿宋"/>
          <w:color w:val="auto"/>
          <w:sz w:val="32"/>
          <w:highlight w:val="white"/>
          <w:lang w:val="en-US"/>
        </w:rPr>
        <w:t>完成年初预算的</w:t>
      </w:r>
      <w:r>
        <w:rPr>
          <w:rFonts w:hint="eastAsia" w:ascii="仿宋" w:hAnsi="仿宋" w:eastAsia="仿宋"/>
          <w:color w:val="000000"/>
          <w:sz w:val="32"/>
          <w:highlight w:val="white"/>
          <w:lang w:val="en-US" w:eastAsia="zh-CN"/>
        </w:rPr>
        <w:t>98.79</w:t>
      </w:r>
      <w:r>
        <w:rPr>
          <w:rFonts w:hint="eastAsia" w:ascii="仿宋" w:hAnsi="仿宋" w:eastAsia="仿宋"/>
          <w:color w:val="000000"/>
          <w:sz w:val="32"/>
          <w:highlight w:val="white"/>
          <w:lang w:val="en-US"/>
        </w:rPr>
        <w:t>%</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经费结余</w:t>
      </w:r>
      <w:r>
        <w:rPr>
          <w:rFonts w:hint="eastAsia" w:ascii="仿宋" w:hAnsi="仿宋" w:eastAsia="仿宋"/>
          <w:color w:val="auto"/>
          <w:sz w:val="32"/>
          <w:highlight w:val="white"/>
          <w:lang w:val="en-US"/>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（五）一般公共预算财政拨款支出决算情况说明</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1.一般公共预算财政拨款支出决算总体情况。</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2020年度一般公共预算财政拨款支出216.74万元，占本年支出合计的100%。与2019年相比，一般公共预算财政拨款支出减少</w:t>
      </w:r>
      <w:r>
        <w:rPr>
          <w:rFonts w:hint="eastAsia" w:ascii="仿宋" w:hAnsi="仿宋" w:eastAsia="仿宋"/>
          <w:color w:val="000000"/>
          <w:sz w:val="32"/>
          <w:highlight w:val="white"/>
          <w:lang w:val="en-US" w:eastAsia="zh-CN"/>
        </w:rPr>
        <w:t>4.3</w:t>
      </w:r>
      <w:r>
        <w:rPr>
          <w:rFonts w:hint="eastAsia" w:ascii="仿宋" w:hAnsi="仿宋" w:eastAsia="仿宋"/>
          <w:color w:val="000000"/>
          <w:sz w:val="32"/>
          <w:highlight w:val="white"/>
          <w:lang w:val="en-US"/>
        </w:rPr>
        <w:t>万元，下降</w:t>
      </w:r>
      <w:r>
        <w:rPr>
          <w:rFonts w:hint="eastAsia" w:ascii="仿宋" w:hAnsi="仿宋" w:eastAsia="仿宋"/>
          <w:color w:val="000000"/>
          <w:sz w:val="32"/>
          <w:highlight w:val="white"/>
          <w:lang w:val="en-US" w:eastAsia="zh-CN"/>
        </w:rPr>
        <w:t>1.95</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人员调出减少</w:t>
      </w:r>
      <w:r>
        <w:rPr>
          <w:rFonts w:hint="eastAsia" w:ascii="仿宋" w:hAnsi="仿宋" w:eastAsia="仿宋"/>
          <w:color w:val="000000"/>
          <w:sz w:val="32"/>
          <w:highlight w:val="white"/>
          <w:lang w:val="en-US"/>
        </w:rPr>
        <w:t>。</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2.一般公共预算财政拨款支出决算结构情况。</w:t>
      </w:r>
    </w:p>
    <w:p>
      <w:pPr>
        <w:spacing w:beforeLines="0" w:afterLines="0" w:line="324" w:lineRule="auto"/>
        <w:ind w:firstLine="606"/>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2020年度一般公共预算财政拨款支出216.74万元，主要用于以下方面：一般公共服务（类）支出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万元，占0%；国防（类）支出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万元,占0%；公共安全（类）支出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万元,占0%；教育（类）支出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万元,占0%；科学技术（类）支出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万元,占0%；文化旅游体育与传媒（类）支出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万元,占0%；社会保障和就业（类）支出</w:t>
      </w:r>
      <w:r>
        <w:rPr>
          <w:rFonts w:hint="eastAsia" w:ascii="仿宋" w:hAnsi="仿宋" w:eastAsia="仿宋"/>
          <w:color w:val="auto"/>
          <w:sz w:val="32"/>
          <w:highlight w:val="white"/>
          <w:lang w:val="zh-CN"/>
        </w:rPr>
        <w:t>17.24</w:t>
      </w:r>
      <w:r>
        <w:rPr>
          <w:rFonts w:hint="eastAsia" w:ascii="仿宋" w:hAnsi="仿宋" w:eastAsia="仿宋"/>
          <w:color w:val="000000"/>
          <w:sz w:val="32"/>
          <w:highlight w:val="white"/>
          <w:lang w:val="en-US"/>
        </w:rPr>
        <w:t>万元,占7.95%；卫生健康（类）支出</w:t>
      </w:r>
      <w:r>
        <w:rPr>
          <w:rFonts w:hint="eastAsia" w:ascii="仿宋" w:hAnsi="仿宋" w:eastAsia="仿宋"/>
          <w:color w:val="auto"/>
          <w:sz w:val="32"/>
          <w:highlight w:val="white"/>
          <w:lang w:val="zh-CN"/>
        </w:rPr>
        <w:t>7.21</w:t>
      </w:r>
      <w:r>
        <w:rPr>
          <w:rFonts w:hint="eastAsia" w:ascii="仿宋" w:hAnsi="仿宋" w:eastAsia="仿宋"/>
          <w:color w:val="000000"/>
          <w:sz w:val="32"/>
          <w:highlight w:val="white"/>
          <w:lang w:val="en-US"/>
        </w:rPr>
        <w:t>万元,占3.33%；节能环保（类）支出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万元,占0%；城乡社区（类）支出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万元,占0%；农林水（类）支出</w:t>
      </w:r>
      <w:r>
        <w:rPr>
          <w:rFonts w:hint="eastAsia" w:ascii="仿宋" w:hAnsi="仿宋" w:eastAsia="仿宋"/>
          <w:color w:val="auto"/>
          <w:sz w:val="32"/>
          <w:highlight w:val="white"/>
          <w:lang w:val="zh-CN"/>
        </w:rPr>
        <w:t>175.87</w:t>
      </w:r>
      <w:r>
        <w:rPr>
          <w:rFonts w:hint="eastAsia" w:ascii="仿宋" w:hAnsi="仿宋" w:eastAsia="仿宋"/>
          <w:color w:val="000000"/>
          <w:sz w:val="32"/>
          <w:highlight w:val="white"/>
          <w:lang w:val="en-US"/>
        </w:rPr>
        <w:t>万元,占81.14%；交通运输（类）支出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万元,占0%；资源勘探工业信息等（类）支出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万元,占0%；商业服务业等（类）支出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万元,占0%；金融（类）支出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万元,占0%；援助其他地区（类）支出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万元,占0%；自然资源海洋气象等（类）支出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万元,占0%；住房保障（类）支出</w:t>
      </w:r>
      <w:r>
        <w:rPr>
          <w:rFonts w:hint="eastAsia" w:ascii="仿宋" w:hAnsi="仿宋" w:eastAsia="仿宋"/>
          <w:color w:val="auto"/>
          <w:sz w:val="32"/>
          <w:highlight w:val="white"/>
          <w:lang w:val="zh-CN"/>
        </w:rPr>
        <w:t>16.43</w:t>
      </w:r>
      <w:r>
        <w:rPr>
          <w:rFonts w:hint="eastAsia" w:ascii="仿宋" w:hAnsi="仿宋" w:eastAsia="仿宋"/>
          <w:color w:val="000000"/>
          <w:sz w:val="32"/>
          <w:highlight w:val="white"/>
          <w:lang w:val="en-US"/>
        </w:rPr>
        <w:t>万元,占7.58%；粮油物资储备（类）支出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万元,占0%；灾害防治及应急管理（类）支出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万元,占0%；其他（类）支出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万元,占0%；债务还本（类）支出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万元,占0%；债务付息（类）支出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3.一般公共预算财政拨款支出决算具体情况。</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auto"/>
          <w:sz w:val="32"/>
          <w:highlight w:val="white"/>
          <w:lang w:val="en-US"/>
        </w:rPr>
        <w:t>2020年度</w:t>
      </w:r>
      <w:r>
        <w:rPr>
          <w:rFonts w:hint="eastAsia" w:ascii="仿宋" w:hAnsi="仿宋" w:eastAsia="仿宋"/>
          <w:color w:val="000000"/>
          <w:sz w:val="32"/>
          <w:highlight w:val="white"/>
          <w:lang w:val="en-US"/>
        </w:rPr>
        <w:t>一般公共预算</w:t>
      </w:r>
      <w:r>
        <w:rPr>
          <w:rFonts w:hint="eastAsia" w:ascii="仿宋" w:hAnsi="仿宋" w:eastAsia="仿宋"/>
          <w:color w:val="auto"/>
          <w:sz w:val="32"/>
          <w:highlight w:val="white"/>
          <w:lang w:val="en-US"/>
        </w:rPr>
        <w:t>财政拨款支出年初预算为</w:t>
      </w:r>
      <w:r>
        <w:rPr>
          <w:rFonts w:hint="eastAsia" w:ascii="仿宋" w:hAnsi="仿宋" w:eastAsia="仿宋"/>
          <w:color w:val="000000"/>
          <w:sz w:val="32"/>
          <w:highlight w:val="white"/>
          <w:lang w:val="en-US" w:eastAsia="zh-CN"/>
        </w:rPr>
        <w:t>219.39</w:t>
      </w:r>
      <w:r>
        <w:rPr>
          <w:rFonts w:hint="eastAsia" w:ascii="仿宋" w:hAnsi="仿宋" w:eastAsia="仿宋"/>
          <w:color w:val="auto"/>
          <w:sz w:val="32"/>
          <w:highlight w:val="white"/>
          <w:lang w:val="en-US"/>
        </w:rPr>
        <w:t>万元，支出决算为</w:t>
      </w:r>
      <w:r>
        <w:rPr>
          <w:rFonts w:hint="eastAsia" w:ascii="仿宋" w:hAnsi="仿宋" w:eastAsia="仿宋"/>
          <w:color w:val="000000"/>
          <w:sz w:val="32"/>
          <w:highlight w:val="white"/>
          <w:lang w:val="en-US"/>
        </w:rPr>
        <w:t>216.74万元</w:t>
      </w:r>
      <w:r>
        <w:rPr>
          <w:rFonts w:hint="eastAsia" w:ascii="仿宋" w:hAnsi="仿宋" w:eastAsia="仿宋"/>
          <w:color w:val="auto"/>
          <w:sz w:val="32"/>
          <w:highlight w:val="white"/>
          <w:lang w:val="en-US"/>
        </w:rPr>
        <w:t>,完成年初预算的</w:t>
      </w:r>
      <w:r>
        <w:rPr>
          <w:rFonts w:hint="eastAsia" w:ascii="仿宋" w:hAnsi="仿宋" w:eastAsia="仿宋"/>
          <w:color w:val="000000"/>
          <w:sz w:val="32"/>
          <w:highlight w:val="white"/>
          <w:lang w:val="en-US" w:eastAsia="zh-CN"/>
        </w:rPr>
        <w:t>98.79</w:t>
      </w:r>
      <w:r>
        <w:rPr>
          <w:rFonts w:hint="eastAsia" w:ascii="仿宋" w:hAnsi="仿宋" w:eastAsia="仿宋"/>
          <w:color w:val="000000"/>
          <w:sz w:val="32"/>
          <w:highlight w:val="white"/>
          <w:lang w:val="en-US"/>
        </w:rPr>
        <w:t>%</w:t>
      </w:r>
      <w:r>
        <w:rPr>
          <w:rFonts w:hint="eastAsia" w:ascii="仿宋" w:hAnsi="仿宋" w:eastAsia="仿宋"/>
          <w:color w:val="auto"/>
          <w:sz w:val="32"/>
          <w:highlight w:val="white"/>
          <w:lang w:val="en-US"/>
        </w:rPr>
        <w:t>，主要原因是</w:t>
      </w:r>
      <w:r>
        <w:rPr>
          <w:rFonts w:hint="eastAsia" w:ascii="仿宋" w:hAnsi="仿宋" w:eastAsia="仿宋"/>
          <w:color w:val="auto"/>
          <w:sz w:val="32"/>
          <w:highlight w:val="white"/>
          <w:lang w:val="en-US" w:eastAsia="zh-CN"/>
        </w:rPr>
        <w:t>经费结余</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其中：</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教育支出（类）进修及培训（款）培训支出（项）</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2.71</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%，决算数小于预算数的主要原因</w:t>
      </w:r>
      <w:r>
        <w:rPr>
          <w:rFonts w:hint="eastAsia" w:ascii="仿宋" w:hAnsi="仿宋" w:eastAsia="仿宋"/>
          <w:color w:val="000000"/>
          <w:sz w:val="32"/>
          <w:highlight w:val="white"/>
          <w:lang w:val="en-US" w:eastAsia="zh-CN"/>
        </w:rPr>
        <w:t>受新冠疫情影响培训减少</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社会保障和就业支出（类）行政事业单位养老支出（款）行政单位离退休（项）</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0.64</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0.34</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53.13</w:t>
      </w:r>
      <w:r>
        <w:rPr>
          <w:rFonts w:hint="eastAsia" w:ascii="仿宋" w:hAnsi="仿宋" w:eastAsia="仿宋"/>
          <w:color w:val="000000"/>
          <w:sz w:val="32"/>
          <w:highlight w:val="white"/>
          <w:lang w:val="en-US"/>
        </w:rPr>
        <w:t>%，决算数小于预算数的主要原因</w:t>
      </w:r>
      <w:r>
        <w:rPr>
          <w:rFonts w:hint="eastAsia" w:ascii="仿宋" w:hAnsi="仿宋" w:eastAsia="仿宋"/>
          <w:color w:val="auto"/>
          <w:sz w:val="32"/>
          <w:highlight w:val="white"/>
          <w:lang w:val="en-US"/>
        </w:rPr>
        <w:t>是</w:t>
      </w:r>
      <w:r>
        <w:rPr>
          <w:rFonts w:hint="eastAsia" w:ascii="仿宋" w:hAnsi="仿宋" w:eastAsia="仿宋"/>
          <w:color w:val="auto"/>
          <w:sz w:val="32"/>
          <w:highlight w:val="white"/>
          <w:lang w:val="en-US" w:eastAsia="zh-CN"/>
        </w:rPr>
        <w:t>经费结余</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社会保障和就业支出（类）行政事业单位养老支出（款）机关事业单位基本养老保险缴费支出（项）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12.33</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11.27</w:t>
      </w:r>
      <w:r>
        <w:rPr>
          <w:rFonts w:hint="eastAsia" w:ascii="仿宋" w:hAnsi="仿宋" w:eastAsia="仿宋"/>
          <w:color w:val="000000"/>
          <w:sz w:val="32"/>
          <w:highlight w:val="white"/>
          <w:lang w:val="en-US"/>
        </w:rPr>
        <w:t>万元，完成年初预算</w:t>
      </w:r>
      <w:r>
        <w:rPr>
          <w:rFonts w:hint="eastAsia" w:ascii="仿宋" w:hAnsi="仿宋" w:eastAsia="仿宋"/>
          <w:color w:val="000000"/>
          <w:sz w:val="32"/>
          <w:highlight w:val="white"/>
          <w:lang w:val="en-US" w:eastAsia="zh-CN"/>
        </w:rPr>
        <w:t>91.40</w:t>
      </w:r>
      <w:r>
        <w:rPr>
          <w:rFonts w:hint="eastAsia" w:ascii="仿宋" w:hAnsi="仿宋" w:eastAsia="仿宋"/>
          <w:color w:val="000000"/>
          <w:sz w:val="32"/>
          <w:highlight w:val="white"/>
          <w:lang w:val="en-US"/>
        </w:rPr>
        <w:t>的%，决算数小于预算数的主要原因</w:t>
      </w:r>
      <w:r>
        <w:rPr>
          <w:rFonts w:hint="eastAsia" w:ascii="仿宋" w:hAnsi="仿宋" w:eastAsia="仿宋"/>
          <w:color w:val="000000"/>
          <w:sz w:val="32"/>
          <w:highlight w:val="white"/>
          <w:lang w:val="en-US" w:eastAsia="zh-CN"/>
        </w:rPr>
        <w:t>是人员减少</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社会保障和就业支出（类）行政事业单位养老支出（款）机关事业单位职业年金缴费支出（项）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6.16</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5.63</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91.40</w:t>
      </w:r>
      <w:r>
        <w:rPr>
          <w:rFonts w:hint="eastAsia" w:ascii="仿宋" w:hAnsi="仿宋" w:eastAsia="仿宋"/>
          <w:color w:val="000000"/>
          <w:sz w:val="32"/>
          <w:highlight w:val="white"/>
          <w:lang w:val="en-US"/>
        </w:rPr>
        <w:t>%，决算数小于预算数的主要原因</w:t>
      </w:r>
      <w:r>
        <w:rPr>
          <w:rFonts w:hint="eastAsia" w:ascii="仿宋" w:hAnsi="仿宋" w:eastAsia="仿宋"/>
          <w:color w:val="000000"/>
          <w:sz w:val="32"/>
          <w:highlight w:val="white"/>
          <w:lang w:val="en-US" w:eastAsia="zh-CN"/>
        </w:rPr>
        <w:t>是人员减少</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卫生健康支出（类）行政事业单位医疗（款）行政单位医疗（项）</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7.32</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7.21</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98.50</w:t>
      </w:r>
      <w:r>
        <w:rPr>
          <w:rFonts w:hint="eastAsia" w:ascii="仿宋" w:hAnsi="仿宋" w:eastAsia="仿宋"/>
          <w:color w:val="000000"/>
          <w:sz w:val="32"/>
          <w:highlight w:val="white"/>
          <w:lang w:val="en-US"/>
        </w:rPr>
        <w:t>%，决算数小于预算数的主要原因</w:t>
      </w:r>
      <w:r>
        <w:rPr>
          <w:rFonts w:hint="eastAsia" w:ascii="仿宋" w:hAnsi="仿宋" w:eastAsia="仿宋"/>
          <w:color w:val="000000"/>
          <w:sz w:val="32"/>
          <w:highlight w:val="white"/>
          <w:lang w:val="en-US" w:eastAsia="zh-CN"/>
        </w:rPr>
        <w:t>经费结余</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农林水支出（类）林业和草原（款）行政运行（林业）（项）</w:t>
      </w:r>
      <w:r>
        <w:rPr>
          <w:rFonts w:hint="eastAsia" w:ascii="Times New Roman" w:hAnsi="Times New Roman" w:eastAsia="仿宋_GB2312" w:cs="Times New Roman"/>
          <w:bCs/>
          <w:color w:val="000000"/>
          <w:sz w:val="32"/>
          <w:szCs w:val="32"/>
          <w:lang w:eastAsia="zh-CN"/>
        </w:rPr>
        <w:t>。</w:t>
      </w:r>
    </w:p>
    <w:p>
      <w:pPr>
        <w:spacing w:beforeLines="0" w:afterLines="0" w:line="324" w:lineRule="auto"/>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169.16</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173.85</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102.77</w:t>
      </w:r>
      <w:r>
        <w:rPr>
          <w:rFonts w:hint="eastAsia" w:ascii="仿宋" w:hAnsi="仿宋" w:eastAsia="仿宋"/>
          <w:color w:val="000000"/>
          <w:sz w:val="32"/>
          <w:highlight w:val="white"/>
          <w:lang w:val="en-US"/>
        </w:rPr>
        <w:t>%，决算数</w:t>
      </w:r>
      <w:r>
        <w:rPr>
          <w:rFonts w:hint="eastAsia" w:ascii="仿宋" w:hAnsi="仿宋" w:eastAsia="仿宋"/>
          <w:color w:val="000000"/>
          <w:sz w:val="32"/>
          <w:highlight w:val="white"/>
          <w:lang w:val="en-US" w:eastAsia="zh-CN"/>
        </w:rPr>
        <w:t>大</w:t>
      </w:r>
      <w:r>
        <w:rPr>
          <w:rFonts w:hint="eastAsia" w:ascii="仿宋" w:hAnsi="仿宋" w:eastAsia="仿宋"/>
          <w:color w:val="000000"/>
          <w:sz w:val="32"/>
          <w:highlight w:val="white"/>
          <w:lang w:val="en-US"/>
        </w:rPr>
        <w:t>于预算数的主要原因</w:t>
      </w:r>
      <w:r>
        <w:rPr>
          <w:rFonts w:hint="eastAsia" w:ascii="仿宋" w:hAnsi="仿宋" w:eastAsia="仿宋"/>
          <w:color w:val="000000"/>
          <w:sz w:val="32"/>
          <w:highlight w:val="white"/>
          <w:lang w:val="en-US" w:eastAsia="zh-CN"/>
        </w:rPr>
        <w:t>行政运行费用增加</w:t>
      </w:r>
      <w:r>
        <w:rPr>
          <w:rFonts w:hint="eastAsia" w:ascii="仿宋" w:hAnsi="仿宋" w:eastAsia="仿宋"/>
          <w:color w:val="000000"/>
          <w:sz w:val="32"/>
          <w:highlight w:val="white"/>
          <w:lang w:val="en-US"/>
        </w:rPr>
        <w:t>。</w:t>
      </w:r>
    </w:p>
    <w:p>
      <w:pPr>
        <w:spacing w:beforeLines="0" w:afterLines="0" w:line="324" w:lineRule="auto"/>
        <w:ind w:firstLine="640" w:firstLineChars="200"/>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农林水支出（类）林业和草原（款）执法与监督（项）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4</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2.02</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51</w:t>
      </w:r>
      <w:r>
        <w:rPr>
          <w:rFonts w:hint="eastAsia" w:ascii="仿宋" w:hAnsi="仿宋" w:eastAsia="仿宋"/>
          <w:color w:val="000000"/>
          <w:sz w:val="32"/>
          <w:highlight w:val="white"/>
          <w:lang w:val="en-US"/>
        </w:rPr>
        <w:t>%，决算数</w:t>
      </w:r>
      <w:r>
        <w:rPr>
          <w:rFonts w:hint="eastAsia" w:ascii="仿宋" w:hAnsi="仿宋" w:eastAsia="仿宋"/>
          <w:color w:val="000000"/>
          <w:sz w:val="32"/>
          <w:highlight w:val="white"/>
          <w:lang w:val="en-US" w:eastAsia="zh-CN"/>
        </w:rPr>
        <w:t>小</w:t>
      </w:r>
      <w:r>
        <w:rPr>
          <w:rFonts w:hint="eastAsia" w:ascii="仿宋" w:hAnsi="仿宋" w:eastAsia="仿宋"/>
          <w:color w:val="000000"/>
          <w:sz w:val="32"/>
          <w:highlight w:val="white"/>
          <w:lang w:val="en-US"/>
        </w:rPr>
        <w:t>于预算数的主要原因</w:t>
      </w:r>
      <w:r>
        <w:rPr>
          <w:rFonts w:hint="eastAsia" w:ascii="仿宋" w:hAnsi="仿宋" w:eastAsia="仿宋"/>
          <w:color w:val="000000"/>
          <w:sz w:val="32"/>
          <w:highlight w:val="white"/>
          <w:lang w:val="en-US" w:eastAsia="zh-CN"/>
        </w:rPr>
        <w:t>经费结余</w:t>
      </w:r>
      <w:r>
        <w:rPr>
          <w:rFonts w:hint="eastAsia" w:ascii="仿宋" w:hAnsi="仿宋" w:eastAsia="仿宋"/>
          <w:color w:val="000000"/>
          <w:sz w:val="32"/>
          <w:highlight w:val="white"/>
          <w:lang w:val="en-US"/>
        </w:rPr>
        <w:t>。</w:t>
      </w:r>
    </w:p>
    <w:p>
      <w:pPr>
        <w:spacing w:beforeLines="0" w:afterLines="0" w:line="324" w:lineRule="auto"/>
        <w:ind w:firstLine="640" w:firstLineChars="200"/>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住房保障支出（类）住房改革支出（款）住房公积金（项）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17.07</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16.43</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96.25</w:t>
      </w:r>
      <w:r>
        <w:rPr>
          <w:rFonts w:hint="eastAsia" w:ascii="仿宋" w:hAnsi="仿宋" w:eastAsia="仿宋"/>
          <w:color w:val="000000"/>
          <w:sz w:val="32"/>
          <w:highlight w:val="white"/>
          <w:lang w:val="en-US"/>
        </w:rPr>
        <w:t>%，决算数</w:t>
      </w:r>
      <w:r>
        <w:rPr>
          <w:rFonts w:hint="eastAsia" w:ascii="仿宋" w:hAnsi="仿宋" w:eastAsia="仿宋"/>
          <w:color w:val="000000"/>
          <w:sz w:val="32"/>
          <w:highlight w:val="white"/>
          <w:lang w:val="en-US" w:eastAsia="zh-CN"/>
        </w:rPr>
        <w:t>小</w:t>
      </w:r>
      <w:r>
        <w:rPr>
          <w:rFonts w:hint="eastAsia" w:ascii="仿宋" w:hAnsi="仿宋" w:eastAsia="仿宋"/>
          <w:color w:val="000000"/>
          <w:sz w:val="32"/>
          <w:highlight w:val="white"/>
          <w:lang w:val="en-US"/>
        </w:rPr>
        <w:t>于预算数的主要原因</w:t>
      </w:r>
      <w:r>
        <w:rPr>
          <w:rFonts w:hint="eastAsia" w:ascii="仿宋" w:hAnsi="仿宋" w:eastAsia="仿宋"/>
          <w:color w:val="000000"/>
          <w:sz w:val="32"/>
          <w:highlight w:val="white"/>
          <w:lang w:val="en-US" w:eastAsia="zh-CN"/>
        </w:rPr>
        <w:t>经费结余</w:t>
      </w:r>
      <w:r>
        <w:rPr>
          <w:rFonts w:hint="eastAsia" w:ascii="仿宋" w:hAnsi="仿宋" w:eastAsia="仿宋"/>
          <w:color w:val="000000"/>
          <w:sz w:val="32"/>
          <w:highlight w:val="white"/>
          <w:lang w:val="en-US"/>
        </w:rPr>
        <w:t>。</w:t>
      </w:r>
    </w:p>
    <w:p>
      <w:pPr>
        <w:spacing w:beforeLines="0" w:afterLines="0" w:line="324" w:lineRule="auto"/>
        <w:ind w:firstLine="642" w:firstLineChars="200"/>
        <w:rPr>
          <w:rFonts w:hint="default" w:ascii="Times New Roman" w:hAnsi="Times New Roman" w:eastAsia="Times New Roman"/>
          <w:color w:val="000000"/>
          <w:sz w:val="32"/>
          <w:highlight w:val="white"/>
          <w:lang w:val="en-US"/>
        </w:rPr>
      </w:pPr>
      <w:r>
        <w:rPr>
          <w:rFonts w:hint="eastAsia" w:ascii="楷体" w:hAnsi="楷体" w:eastAsia="楷体"/>
          <w:b/>
          <w:color w:val="000000"/>
          <w:sz w:val="32"/>
          <w:highlight w:val="white"/>
          <w:lang w:val="en-US"/>
        </w:rPr>
        <w:t>（六）一般公共预算财政拨款基本支出决算情况说明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2020年度一般公共预算财政拨款基本支出214.72万元，其中：</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人员经费193.85万元，主要包括：</w:t>
      </w:r>
      <w:r>
        <w:rPr>
          <w:rFonts w:ascii="Times New Roman" w:hAnsi="Times New Roman" w:eastAsia="仿宋_GB2312" w:cs="Times New Roman"/>
          <w:color w:val="000000"/>
          <w:sz w:val="32"/>
          <w:szCs w:val="32"/>
        </w:rPr>
        <w:t>基本工资、津贴补贴、奖金、机关事业单位基本养老保险缴费、职业年金缴费、职工基本医疗保险缴费、公务员医疗补助缴费、其他社会保障缴费、住房公积金、其他工资福利支出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退休费、生活补助</w:t>
      </w:r>
      <w:r>
        <w:rPr>
          <w:rFonts w:hint="eastAsia" w:ascii="仿宋" w:hAnsi="仿宋" w:eastAsia="仿宋"/>
          <w:color w:val="000000"/>
          <w:sz w:val="32"/>
          <w:highlight w:val="white"/>
          <w:lang w:val="en-US"/>
        </w:rPr>
        <w:t>。</w:t>
      </w:r>
    </w:p>
    <w:p>
      <w:pPr>
        <w:spacing w:line="560" w:lineRule="exact"/>
        <w:ind w:firstLine="640" w:firstLineChars="200"/>
        <w:rPr>
          <w:rFonts w:ascii="Times New Roman" w:hAnsi="Times New Roman" w:eastAsia="仿宋_GB2312" w:cs="Times New Roman"/>
          <w:color w:val="000000"/>
          <w:sz w:val="32"/>
          <w:szCs w:val="32"/>
        </w:rPr>
      </w:pPr>
      <w:r>
        <w:rPr>
          <w:rFonts w:hint="eastAsia" w:ascii="仿宋" w:hAnsi="仿宋" w:eastAsia="仿宋"/>
          <w:color w:val="000000"/>
          <w:sz w:val="32"/>
          <w:highlight w:val="white"/>
          <w:lang w:val="en-US"/>
        </w:rPr>
        <w:t>公用经费20.87万元，主要包括：办公费、</w:t>
      </w:r>
      <w:r>
        <w:rPr>
          <w:rFonts w:ascii="Times New Roman" w:hAnsi="Times New Roman" w:eastAsia="仿宋_GB2312" w:cs="Times New Roman"/>
          <w:color w:val="000000"/>
          <w:sz w:val="32"/>
          <w:szCs w:val="32"/>
        </w:rPr>
        <w:t>邮电费、差旅费、维修（护）费、培训费、公务接待费、劳务费、工会经费、福利费、其他交通费用、其他商品和服务支出。</w:t>
      </w:r>
    </w:p>
    <w:p>
      <w:pPr>
        <w:numPr>
          <w:ilvl w:val="0"/>
          <w:numId w:val="2"/>
        </w:numPr>
        <w:spacing w:beforeLines="0" w:afterLines="0" w:line="324" w:lineRule="auto"/>
        <w:ind w:firstLine="642" w:firstLineChars="200"/>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政府性基金预算财政拨款支出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lang w:val="en-US"/>
        </w:rPr>
        <w:t>总体情况说明</w:t>
      </w:r>
    </w:p>
    <w:p>
      <w:pPr>
        <w:numPr>
          <w:ilvl w:val="0"/>
          <w:numId w:val="0"/>
        </w:numPr>
        <w:spacing w:beforeLines="0" w:afterLines="0" w:line="324" w:lineRule="auto"/>
        <w:ind w:firstLine="640" w:firstLineChars="200"/>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本单位2020年度无政府性基金预算财政拨款收支安排，故无相关数据</w:t>
      </w:r>
      <w:r>
        <w:rPr>
          <w:rFonts w:hint="eastAsia" w:ascii="仿宋" w:hAnsi="仿宋" w:eastAsia="仿宋"/>
          <w:color w:val="000000"/>
          <w:sz w:val="32"/>
          <w:highlight w:val="white"/>
          <w:lang w:val="en-US" w:eastAsia="zh-CN"/>
        </w:rPr>
        <w:t>。</w:t>
      </w:r>
    </w:p>
    <w:p>
      <w:pPr>
        <w:numPr>
          <w:ilvl w:val="0"/>
          <w:numId w:val="0"/>
        </w:numPr>
        <w:spacing w:beforeLines="0" w:afterLines="0" w:line="324" w:lineRule="auto"/>
        <w:ind w:firstLine="642" w:firstLineChars="200"/>
        <w:rPr>
          <w:rFonts w:hint="eastAsia" w:ascii="仿宋" w:hAnsi="仿宋" w:eastAsia="仿宋"/>
          <w:b/>
          <w:color w:val="000000"/>
          <w:sz w:val="32"/>
          <w:highlight w:val="white"/>
          <w:lang w:val="en-US"/>
        </w:rPr>
      </w:pPr>
      <w:r>
        <w:rPr>
          <w:rFonts w:hint="eastAsia" w:ascii="楷体" w:hAnsi="楷体" w:eastAsia="楷体"/>
          <w:b/>
          <w:color w:val="000000"/>
          <w:sz w:val="32"/>
          <w:highlight w:val="white"/>
          <w:lang w:val="en-US" w:eastAsia="zh-CN"/>
        </w:rPr>
        <w:t>（八）</w:t>
      </w:r>
      <w:r>
        <w:rPr>
          <w:rFonts w:hint="eastAsia" w:ascii="楷体" w:hAnsi="楷体" w:eastAsia="楷体"/>
          <w:b/>
          <w:color w:val="000000"/>
          <w:sz w:val="32"/>
          <w:highlight w:val="white"/>
          <w:lang w:val="en-US"/>
        </w:rPr>
        <w:t>国有资本经营预算财政拨款支出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lang w:val="en-US"/>
        </w:rPr>
        <w:t>总体情</w:t>
      </w:r>
      <w:r>
        <w:rPr>
          <w:rFonts w:hint="eastAsia" w:ascii="楷体" w:hAnsi="楷体" w:eastAsia="楷体"/>
          <w:b/>
          <w:color w:val="000000"/>
          <w:sz w:val="32"/>
          <w:highlight w:val="white"/>
          <w:lang w:val="en-US" w:eastAsia="zh-CN"/>
        </w:rPr>
        <w:t>况说明</w:t>
      </w:r>
    </w:p>
    <w:p>
      <w:pPr>
        <w:numPr>
          <w:ilvl w:val="0"/>
          <w:numId w:val="0"/>
        </w:numPr>
        <w:spacing w:beforeLines="0" w:afterLines="0" w:line="324" w:lineRule="auto"/>
        <w:ind w:firstLine="640" w:firstLineChars="200"/>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本单位2020年度无国有资本经营预算财政拨款收支安排，故无相关数据</w:t>
      </w:r>
      <w:r>
        <w:rPr>
          <w:rFonts w:hint="eastAsia" w:ascii="仿宋" w:hAnsi="仿宋" w:eastAsia="仿宋"/>
          <w:color w:val="000000"/>
          <w:sz w:val="32"/>
          <w:highlight w:val="white"/>
          <w:lang w:val="en-US" w:eastAsia="zh-CN"/>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（九）一般公共预算财政拨款</w:t>
      </w:r>
      <w:r>
        <w:rPr>
          <w:rFonts w:hint="default" w:ascii="楷体" w:hAnsi="楷体" w:eastAsia="楷体"/>
          <w:b/>
          <w:color w:val="000000"/>
          <w:sz w:val="32"/>
          <w:highlight w:val="white"/>
          <w:lang w:val="en-US"/>
        </w:rPr>
        <w:t>“</w:t>
      </w:r>
      <w:r>
        <w:rPr>
          <w:rFonts w:hint="eastAsia" w:ascii="楷体" w:hAnsi="楷体" w:eastAsia="楷体"/>
          <w:b/>
          <w:color w:val="000000"/>
          <w:sz w:val="32"/>
          <w:highlight w:val="white"/>
          <w:lang w:val="en-US"/>
        </w:rPr>
        <w:t>三公</w:t>
      </w:r>
      <w:r>
        <w:rPr>
          <w:rFonts w:hint="default" w:ascii="楷体" w:hAnsi="楷体" w:eastAsia="楷体"/>
          <w:b/>
          <w:color w:val="000000"/>
          <w:sz w:val="32"/>
          <w:highlight w:val="white"/>
          <w:lang w:val="en-US"/>
        </w:rPr>
        <w:t>”</w:t>
      </w:r>
      <w:r>
        <w:rPr>
          <w:rFonts w:hint="eastAsia" w:ascii="楷体" w:hAnsi="楷体" w:eastAsia="楷体"/>
          <w:b/>
          <w:color w:val="000000"/>
          <w:sz w:val="32"/>
          <w:highlight w:val="white"/>
          <w:lang w:val="en-US"/>
        </w:rPr>
        <w:t>经费支出决算情况说明</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1.</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三公</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 xml:space="preserve">经费一般公共预算财政拨款支出决算总体情况说明。 </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经费一般公共预算财政拨款支出预算为</w:t>
      </w:r>
      <w:r>
        <w:rPr>
          <w:rFonts w:hint="eastAsia" w:ascii="仿宋" w:hAnsi="仿宋" w:eastAsia="仿宋"/>
          <w:color w:val="000000"/>
          <w:sz w:val="32"/>
          <w:highlight w:val="white"/>
          <w:lang w:val="en-US" w:eastAsia="zh-CN"/>
        </w:rPr>
        <w:t>0.72</w:t>
      </w:r>
      <w:r>
        <w:rPr>
          <w:rFonts w:hint="eastAsia" w:ascii="仿宋" w:hAnsi="仿宋" w:eastAsia="仿宋"/>
          <w:color w:val="000000"/>
          <w:sz w:val="32"/>
          <w:highlight w:val="white"/>
          <w:lang w:val="en-US"/>
        </w:rPr>
        <w:t>万元，支出决算为0.14万元，完成预算的</w:t>
      </w:r>
      <w:r>
        <w:rPr>
          <w:rFonts w:hint="eastAsia" w:ascii="仿宋" w:hAnsi="仿宋" w:eastAsia="仿宋"/>
          <w:color w:val="000000"/>
          <w:sz w:val="32"/>
          <w:highlight w:val="white"/>
          <w:lang w:val="en-US" w:eastAsia="zh-CN"/>
        </w:rPr>
        <w:t>19.44</w:t>
      </w:r>
      <w:r>
        <w:rPr>
          <w:rFonts w:hint="eastAsia" w:ascii="仿宋" w:hAnsi="仿宋" w:eastAsia="仿宋"/>
          <w:color w:val="000000"/>
          <w:sz w:val="32"/>
          <w:highlight w:val="white"/>
          <w:lang w:val="en-US"/>
        </w:rPr>
        <w:t>%,2020年度</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经费支出决算数小于预算数的主要原因是</w:t>
      </w:r>
      <w:r>
        <w:rPr>
          <w:rFonts w:hint="eastAsia" w:ascii="仿宋" w:hAnsi="仿宋" w:eastAsia="仿宋"/>
          <w:color w:val="000000"/>
          <w:sz w:val="32"/>
          <w:highlight w:val="white"/>
          <w:lang w:val="en-US" w:eastAsia="zh-CN"/>
        </w:rPr>
        <w:t>受新冠疫情影响公务接待减少</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2.</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三公</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经费一般公共预算财政拨款支出决算具体情况说明。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经费一般公共预算财政拨款支出决算中，因公出国（境）费用支出决算为0万元，占0%，与2019年度相比</w:t>
      </w:r>
      <w:r>
        <w:rPr>
          <w:rFonts w:hint="eastAsia" w:ascii="仿宋" w:hAnsi="仿宋" w:eastAsia="仿宋"/>
          <w:color w:val="000000"/>
          <w:sz w:val="32"/>
          <w:highlight w:val="white"/>
          <w:lang w:val="en-US" w:eastAsia="zh-CN"/>
        </w:rPr>
        <w:t>持平</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2020年无</w:t>
      </w:r>
      <w:r>
        <w:rPr>
          <w:rFonts w:hint="eastAsia" w:ascii="仿宋" w:hAnsi="仿宋" w:eastAsia="仿宋"/>
          <w:color w:val="000000"/>
          <w:sz w:val="32"/>
          <w:highlight w:val="white"/>
          <w:lang w:val="en-US"/>
        </w:rPr>
        <w:t>因公出国（境）</w:t>
      </w:r>
      <w:r>
        <w:rPr>
          <w:rFonts w:hint="eastAsia" w:ascii="仿宋" w:hAnsi="仿宋" w:eastAsia="仿宋"/>
          <w:color w:val="000000"/>
          <w:sz w:val="32"/>
          <w:highlight w:val="white"/>
          <w:lang w:val="en-US" w:eastAsia="zh-CN"/>
        </w:rPr>
        <w:t>人员</w:t>
      </w:r>
      <w:r>
        <w:rPr>
          <w:rFonts w:hint="eastAsia" w:ascii="仿宋" w:hAnsi="仿宋" w:eastAsia="仿宋"/>
          <w:color w:val="000000"/>
          <w:sz w:val="32"/>
          <w:highlight w:val="white"/>
          <w:lang w:val="en-US"/>
        </w:rPr>
        <w:t>；公务用车购置及运行维护费支出决算为0万元，占0%，与2019年度相比</w:t>
      </w:r>
      <w:r>
        <w:rPr>
          <w:rFonts w:hint="eastAsia" w:ascii="仿宋" w:hAnsi="仿宋" w:eastAsia="仿宋"/>
          <w:color w:val="000000"/>
          <w:sz w:val="32"/>
          <w:highlight w:val="white"/>
          <w:lang w:val="en-US" w:eastAsia="zh-CN"/>
        </w:rPr>
        <w:t>持平</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2020年无</w:t>
      </w:r>
      <w:r>
        <w:rPr>
          <w:rFonts w:hint="eastAsia" w:ascii="仿宋" w:hAnsi="仿宋" w:eastAsia="仿宋"/>
          <w:color w:val="000000"/>
          <w:sz w:val="32"/>
          <w:highlight w:val="white"/>
          <w:lang w:val="en-US"/>
        </w:rPr>
        <w:t>公务用车购置及运行维护费支出；公务接待费支出决算为0.14万元，占100%，与2019年度相比，减少</w:t>
      </w:r>
      <w:r>
        <w:rPr>
          <w:rFonts w:hint="eastAsia" w:ascii="仿宋" w:hAnsi="仿宋" w:eastAsia="仿宋"/>
          <w:color w:val="000000"/>
          <w:sz w:val="32"/>
          <w:highlight w:val="white"/>
          <w:lang w:val="en-US" w:eastAsia="zh-CN"/>
        </w:rPr>
        <w:t>0.05</w:t>
      </w:r>
      <w:r>
        <w:rPr>
          <w:rFonts w:hint="eastAsia" w:ascii="仿宋" w:hAnsi="仿宋" w:eastAsia="仿宋"/>
          <w:color w:val="000000"/>
          <w:sz w:val="32"/>
          <w:highlight w:val="white"/>
          <w:lang w:val="en-US"/>
        </w:rPr>
        <w:t>万元，下降</w:t>
      </w:r>
      <w:r>
        <w:rPr>
          <w:rFonts w:hint="eastAsia" w:ascii="仿宋" w:hAnsi="仿宋" w:eastAsia="仿宋"/>
          <w:color w:val="000000"/>
          <w:sz w:val="32"/>
          <w:highlight w:val="white"/>
          <w:lang w:val="en-US" w:eastAsia="zh-CN"/>
        </w:rPr>
        <w:t>26.32</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受新冠疫情影响公务接待减少</w:t>
      </w:r>
      <w:r>
        <w:rPr>
          <w:rFonts w:hint="eastAsia" w:ascii="仿宋" w:hAnsi="仿宋" w:eastAsia="仿宋"/>
          <w:color w:val="000000"/>
          <w:sz w:val="32"/>
          <w:highlight w:val="white"/>
          <w:lang w:val="en-US"/>
        </w:rPr>
        <w:t>。具体情况如下：</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（1）因公出国（境）费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%。主要用于机关及下属预算单位人员的公务出国（境）的住宿费、国际旅费、培训费、公杂费等支出。决算数</w:t>
      </w:r>
      <w:r>
        <w:rPr>
          <w:rFonts w:hint="eastAsia" w:ascii="仿宋" w:hAnsi="仿宋" w:eastAsia="仿宋"/>
          <w:color w:val="000000"/>
          <w:sz w:val="32"/>
          <w:highlight w:val="white"/>
          <w:lang w:val="en-US" w:eastAsia="zh-CN"/>
        </w:rPr>
        <w:t>等于</w:t>
      </w:r>
      <w:r>
        <w:rPr>
          <w:rFonts w:hint="eastAsia" w:ascii="仿宋" w:hAnsi="仿宋" w:eastAsia="仿宋"/>
          <w:color w:val="000000"/>
          <w:sz w:val="32"/>
          <w:highlight w:val="white"/>
          <w:lang w:val="en-US"/>
        </w:rPr>
        <w:t>预算数的主要原因是</w:t>
      </w:r>
      <w:r>
        <w:rPr>
          <w:rFonts w:hint="eastAsia" w:ascii="仿宋" w:hAnsi="仿宋" w:eastAsia="仿宋"/>
          <w:color w:val="000000"/>
          <w:sz w:val="32"/>
          <w:highlight w:val="white"/>
          <w:lang w:val="en-US" w:eastAsia="zh-CN"/>
        </w:rPr>
        <w:t>2020年无</w:t>
      </w:r>
      <w:r>
        <w:rPr>
          <w:rFonts w:hint="eastAsia" w:ascii="仿宋" w:hAnsi="仿宋" w:eastAsia="仿宋"/>
          <w:color w:val="000000"/>
          <w:sz w:val="32"/>
          <w:highlight w:val="white"/>
          <w:lang w:val="en-US"/>
        </w:rPr>
        <w:t>因公出国（境）</w:t>
      </w:r>
      <w:r>
        <w:rPr>
          <w:rFonts w:hint="eastAsia" w:ascii="仿宋" w:hAnsi="仿宋" w:eastAsia="仿宋"/>
          <w:color w:val="000000"/>
          <w:sz w:val="32"/>
          <w:highlight w:val="white"/>
          <w:lang w:val="en-US" w:eastAsia="zh-CN"/>
        </w:rPr>
        <w:t>人员</w:t>
      </w:r>
      <w:r>
        <w:rPr>
          <w:rFonts w:hint="eastAsia" w:ascii="仿宋" w:hAnsi="仿宋" w:eastAsia="仿宋"/>
          <w:color w:val="000000"/>
          <w:sz w:val="32"/>
          <w:highlight w:val="white"/>
          <w:lang w:val="en-US"/>
        </w:rPr>
        <w:t>。全年使用一般公共预算财政拨款支出涉及因公出国(境)团组0个；累计</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人次。</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（2）公务用车购置及运行维护费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万元，支出决算为0万元，完成预算的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%。决算数小于</w:t>
      </w:r>
      <w:r>
        <w:rPr>
          <w:rFonts w:hint="eastAsia" w:ascii="仿宋" w:hAnsi="仿宋" w:eastAsia="仿宋"/>
          <w:color w:val="000000"/>
          <w:sz w:val="32"/>
          <w:highlight w:val="white"/>
          <w:lang w:val="en-US" w:eastAsia="zh-CN"/>
        </w:rPr>
        <w:t>等于</w:t>
      </w:r>
      <w:r>
        <w:rPr>
          <w:rFonts w:hint="eastAsia" w:ascii="仿宋" w:hAnsi="仿宋" w:eastAsia="仿宋"/>
          <w:color w:val="000000"/>
          <w:sz w:val="32"/>
          <w:highlight w:val="white"/>
          <w:lang w:val="en-US"/>
        </w:rPr>
        <w:t>预算数的主要原因是</w:t>
      </w:r>
      <w:r>
        <w:rPr>
          <w:rFonts w:hint="eastAsia" w:ascii="仿宋" w:hAnsi="仿宋" w:eastAsia="仿宋"/>
          <w:color w:val="000000"/>
          <w:sz w:val="32"/>
          <w:highlight w:val="white"/>
          <w:lang w:val="en-US" w:eastAsia="zh-CN"/>
        </w:rPr>
        <w:t>2020年无</w:t>
      </w:r>
      <w:r>
        <w:rPr>
          <w:rFonts w:hint="eastAsia" w:ascii="仿宋" w:hAnsi="仿宋" w:eastAsia="仿宋"/>
          <w:color w:val="000000"/>
          <w:sz w:val="32"/>
          <w:highlight w:val="white"/>
          <w:lang w:val="en-US"/>
        </w:rPr>
        <w:t>公务用车购置及运行维护费支出。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公务用车购置</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万元（含购置税等附加费用），完成预算的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%。决算数</w:t>
      </w:r>
      <w:r>
        <w:rPr>
          <w:rFonts w:hint="eastAsia" w:ascii="仿宋" w:hAnsi="仿宋" w:eastAsia="仿宋"/>
          <w:color w:val="000000"/>
          <w:sz w:val="32"/>
          <w:highlight w:val="white"/>
          <w:lang w:val="en-US" w:eastAsia="zh-CN"/>
        </w:rPr>
        <w:t>等于</w:t>
      </w:r>
      <w:r>
        <w:rPr>
          <w:rFonts w:hint="eastAsia" w:ascii="仿宋" w:hAnsi="仿宋" w:eastAsia="仿宋"/>
          <w:color w:val="000000"/>
          <w:sz w:val="32"/>
          <w:highlight w:val="white"/>
          <w:lang w:val="en-US"/>
        </w:rPr>
        <w:t>预算数的主要原因是</w:t>
      </w:r>
      <w:r>
        <w:rPr>
          <w:rFonts w:hint="eastAsia" w:ascii="仿宋" w:hAnsi="仿宋" w:eastAsia="仿宋"/>
          <w:color w:val="000000"/>
          <w:sz w:val="32"/>
          <w:highlight w:val="white"/>
          <w:lang w:val="en-US" w:eastAsia="zh-CN"/>
        </w:rPr>
        <w:t>2020年无公务用车购置</w:t>
      </w:r>
      <w:r>
        <w:rPr>
          <w:rFonts w:hint="eastAsia" w:ascii="仿宋" w:hAnsi="仿宋" w:eastAsia="仿宋"/>
          <w:color w:val="000000"/>
          <w:sz w:val="32"/>
          <w:highlight w:val="white"/>
          <w:lang w:val="en-US"/>
        </w:rPr>
        <w:t>。主要用于经批准购置的</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辆公务用车；</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公务用车运行维护费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%。决算数</w:t>
      </w:r>
      <w:r>
        <w:rPr>
          <w:rFonts w:hint="eastAsia" w:ascii="仿宋" w:hAnsi="仿宋" w:eastAsia="仿宋"/>
          <w:color w:val="000000"/>
          <w:sz w:val="32"/>
          <w:highlight w:val="white"/>
          <w:lang w:val="en-US" w:eastAsia="zh-CN"/>
        </w:rPr>
        <w:t>等于</w:t>
      </w:r>
      <w:r>
        <w:rPr>
          <w:rFonts w:hint="eastAsia" w:ascii="仿宋" w:hAnsi="仿宋" w:eastAsia="仿宋"/>
          <w:color w:val="000000"/>
          <w:sz w:val="32"/>
          <w:highlight w:val="white"/>
          <w:lang w:val="en-US"/>
        </w:rPr>
        <w:t>预算数的主要原因是</w:t>
      </w:r>
      <w:r>
        <w:rPr>
          <w:rFonts w:hint="eastAsia" w:ascii="仿宋" w:hAnsi="仿宋" w:eastAsia="仿宋"/>
          <w:color w:val="000000"/>
          <w:sz w:val="32"/>
          <w:highlight w:val="white"/>
          <w:lang w:val="en-US" w:eastAsia="zh-CN"/>
        </w:rPr>
        <w:t>2020年无</w:t>
      </w:r>
      <w:r>
        <w:rPr>
          <w:rFonts w:hint="eastAsia" w:ascii="仿宋" w:hAnsi="仿宋" w:eastAsia="仿宋"/>
          <w:color w:val="000000"/>
          <w:sz w:val="32"/>
          <w:highlight w:val="white"/>
          <w:lang w:val="en-US"/>
        </w:rPr>
        <w:t>公务用车运行维护费。主要用于公务用车燃料费、维修费、过路过桥费、保险费、安全奖励费用等支出；2020年度，本级及所属单位开支一般公共预算财政拨款的公务用车保有量为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辆。</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（3）公务接待费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0.72</w:t>
      </w:r>
      <w:r>
        <w:rPr>
          <w:rFonts w:hint="eastAsia" w:ascii="仿宋" w:hAnsi="仿宋" w:eastAsia="仿宋"/>
          <w:color w:val="000000"/>
          <w:sz w:val="32"/>
          <w:highlight w:val="white"/>
          <w:lang w:val="en-US"/>
        </w:rPr>
        <w:t>万元，支出决算为0.14万元，完成预算的</w:t>
      </w:r>
      <w:r>
        <w:rPr>
          <w:rFonts w:hint="eastAsia" w:ascii="仿宋" w:hAnsi="仿宋" w:eastAsia="仿宋"/>
          <w:color w:val="000000"/>
          <w:sz w:val="32"/>
          <w:highlight w:val="white"/>
          <w:lang w:val="en-US" w:eastAsia="zh-CN"/>
        </w:rPr>
        <w:t>19.44</w:t>
      </w:r>
      <w:r>
        <w:rPr>
          <w:rFonts w:hint="eastAsia" w:ascii="仿宋" w:hAnsi="仿宋" w:eastAsia="仿宋"/>
          <w:color w:val="000000"/>
          <w:sz w:val="32"/>
          <w:highlight w:val="white"/>
          <w:lang w:val="en-US"/>
        </w:rPr>
        <w:t>%。主要用于接待</w:t>
      </w:r>
      <w:r>
        <w:rPr>
          <w:rFonts w:hint="eastAsia" w:ascii="仿宋" w:hAnsi="仿宋" w:eastAsia="仿宋"/>
          <w:color w:val="000000"/>
          <w:sz w:val="32"/>
          <w:highlight w:val="white"/>
          <w:lang w:val="en-US" w:eastAsia="zh-CN"/>
        </w:rPr>
        <w:t>上级和各县市等有关单位</w:t>
      </w:r>
      <w:r>
        <w:rPr>
          <w:rFonts w:hint="eastAsia" w:ascii="仿宋" w:hAnsi="仿宋" w:eastAsia="仿宋"/>
          <w:color w:val="000000"/>
          <w:sz w:val="32"/>
          <w:highlight w:val="white"/>
          <w:lang w:val="en-US"/>
        </w:rPr>
        <w:t>等支出。决算数小于预算数的主要原因是</w:t>
      </w:r>
      <w:r>
        <w:rPr>
          <w:rFonts w:hint="eastAsia" w:ascii="仿宋" w:hAnsi="仿宋" w:eastAsia="仿宋"/>
          <w:color w:val="000000"/>
          <w:sz w:val="32"/>
          <w:highlight w:val="white"/>
          <w:lang w:val="en-US" w:eastAsia="zh-CN"/>
        </w:rPr>
        <w:t>受新冠疫情影响公务接待批次减少，</w:t>
      </w:r>
      <w:r>
        <w:rPr>
          <w:rFonts w:hint="eastAsia" w:ascii="仿宋" w:hAnsi="仿宋" w:eastAsia="仿宋"/>
          <w:color w:val="000000"/>
          <w:sz w:val="32"/>
          <w:highlight w:val="white"/>
          <w:lang w:val="en-US"/>
        </w:rPr>
        <w:t>全年使用一般公共预算财政拨款国内公务接待5团组，累计19人次。</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外宾接待</w:t>
      </w:r>
      <w:r>
        <w:rPr>
          <w:rFonts w:hint="eastAsia" w:ascii="仿宋" w:hAnsi="仿宋" w:eastAsia="仿宋"/>
          <w:color w:val="000000"/>
          <w:sz w:val="32"/>
          <w:highlight w:val="white"/>
          <w:lang w:val="en-US"/>
        </w:rPr>
        <w:t>支出0万元，主要用于</w:t>
      </w:r>
      <w:r>
        <w:rPr>
          <w:rFonts w:hint="eastAsia" w:ascii="仿宋" w:hAnsi="仿宋" w:eastAsia="仿宋"/>
          <w:color w:val="000000"/>
          <w:sz w:val="32"/>
          <w:highlight w:val="white"/>
          <w:lang w:val="en-US" w:eastAsia="zh-CN"/>
        </w:rPr>
        <w:t>外宾接待；</w:t>
      </w:r>
      <w:r>
        <w:rPr>
          <w:rFonts w:hint="eastAsia" w:ascii="仿宋" w:hAnsi="仿宋" w:eastAsia="仿宋"/>
          <w:color w:val="000000"/>
          <w:sz w:val="32"/>
          <w:highlight w:val="white"/>
          <w:lang w:val="en-US"/>
        </w:rPr>
        <w:t>接待0团组，0人次。</w:t>
      </w:r>
    </w:p>
    <w:p>
      <w:pPr>
        <w:spacing w:beforeLines="0" w:afterLines="0" w:line="324" w:lineRule="auto"/>
        <w:ind w:firstLine="594"/>
        <w:rPr>
          <w:rFonts w:hint="default" w:ascii="Times New Roman" w:hAnsi="Times New Roman" w:eastAsia="Times New Roman"/>
          <w:color w:val="000000"/>
          <w:sz w:val="32"/>
          <w:highlight w:val="white"/>
          <w:lang w:val="en-US"/>
        </w:rPr>
      </w:pPr>
      <w:r>
        <w:rPr>
          <w:rFonts w:hint="eastAsia" w:ascii="仿宋" w:hAnsi="仿宋" w:eastAsia="仿宋"/>
          <w:b/>
          <w:color w:val="000000"/>
          <w:sz w:val="32"/>
          <w:highlight w:val="white"/>
          <w:lang w:val="en-US"/>
        </w:rPr>
        <w:t>其他国内公务接待</w:t>
      </w:r>
      <w:r>
        <w:rPr>
          <w:rFonts w:hint="eastAsia" w:ascii="仿宋" w:hAnsi="仿宋" w:eastAsia="仿宋"/>
          <w:color w:val="000000"/>
          <w:sz w:val="32"/>
          <w:highlight w:val="white"/>
          <w:lang w:val="en-US"/>
        </w:rPr>
        <w:t>支出0.14万元，主要用于</w:t>
      </w:r>
      <w:r>
        <w:rPr>
          <w:rFonts w:hint="eastAsia" w:ascii="仿宋" w:hAnsi="仿宋" w:eastAsia="仿宋"/>
          <w:color w:val="000000"/>
          <w:sz w:val="32"/>
          <w:highlight w:val="white"/>
          <w:lang w:val="en-US" w:eastAsia="zh-CN"/>
        </w:rPr>
        <w:t>上级和各县市等有关单位的接待支出，</w:t>
      </w:r>
      <w:r>
        <w:rPr>
          <w:rFonts w:hint="eastAsia" w:ascii="仿宋" w:hAnsi="仿宋" w:eastAsia="仿宋"/>
          <w:color w:val="000000"/>
          <w:sz w:val="32"/>
          <w:highlight w:val="white"/>
          <w:lang w:val="en-US"/>
        </w:rPr>
        <w:t>接待5团组，19人次。</w:t>
      </w:r>
    </w:p>
    <w:p>
      <w:pPr>
        <w:spacing w:beforeLines="0" w:afterLines="0" w:line="324" w:lineRule="auto"/>
        <w:ind w:firstLine="594"/>
        <w:rPr>
          <w:rFonts w:hint="eastAsia" w:ascii="仿宋" w:hAnsi="仿宋" w:eastAsia="仿宋"/>
          <w:color w:val="000000"/>
          <w:sz w:val="32"/>
          <w:highlight w:val="white"/>
          <w:lang w:val="en-US"/>
        </w:rPr>
      </w:pPr>
      <w:r>
        <w:rPr>
          <w:rFonts w:hint="eastAsia" w:ascii="楷体" w:hAnsi="楷体" w:eastAsia="楷体"/>
          <w:b/>
          <w:color w:val="000000"/>
          <w:sz w:val="32"/>
          <w:highlight w:val="white"/>
          <w:lang w:val="en-US"/>
        </w:rPr>
        <w:t>（十）机关运行经费支出说明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2020年度机关运行经费年初预算数为</w:t>
      </w:r>
      <w:r>
        <w:rPr>
          <w:rFonts w:hint="eastAsia" w:ascii="仿宋" w:hAnsi="仿宋" w:eastAsia="仿宋"/>
          <w:color w:val="000000"/>
          <w:sz w:val="32"/>
          <w:highlight w:val="white"/>
          <w:lang w:val="en-US" w:eastAsia="zh-CN"/>
        </w:rPr>
        <w:t>34.37</w:t>
      </w:r>
      <w:r>
        <w:rPr>
          <w:rFonts w:hint="eastAsia" w:ascii="仿宋" w:hAnsi="仿宋" w:eastAsia="仿宋"/>
          <w:color w:val="000000"/>
          <w:sz w:val="32"/>
          <w:highlight w:val="white"/>
          <w:lang w:val="en-US"/>
        </w:rPr>
        <w:t>万元，支出决算为</w:t>
      </w:r>
      <w:r>
        <w:rPr>
          <w:rFonts w:hint="eastAsia" w:ascii="仿宋" w:hAnsi="仿宋" w:eastAsia="仿宋"/>
          <w:color w:val="auto"/>
          <w:kern w:val="0"/>
          <w:sz w:val="32"/>
          <w:highlight w:val="white"/>
          <w:lang w:val="en-US"/>
        </w:rPr>
        <w:t>20.87</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60.72</w:t>
      </w:r>
      <w:r>
        <w:rPr>
          <w:rFonts w:hint="eastAsia" w:ascii="仿宋" w:hAnsi="仿宋" w:eastAsia="仿宋"/>
          <w:color w:val="000000"/>
          <w:sz w:val="32"/>
          <w:highlight w:val="white"/>
          <w:lang w:val="en-US"/>
        </w:rPr>
        <w:t>%，决算数小于预算数的主要原因</w:t>
      </w:r>
      <w:r>
        <w:rPr>
          <w:rFonts w:hint="eastAsia" w:ascii="仿宋" w:hAnsi="仿宋" w:eastAsia="仿宋"/>
          <w:color w:val="000000"/>
          <w:sz w:val="32"/>
          <w:highlight w:val="white"/>
          <w:lang w:val="en-US" w:eastAsia="zh-CN"/>
        </w:rPr>
        <w:t>经费结余</w:t>
      </w:r>
      <w:r>
        <w:rPr>
          <w:rFonts w:hint="eastAsia" w:ascii="仿宋" w:hAnsi="仿宋" w:eastAsia="仿宋"/>
          <w:color w:val="000000"/>
          <w:sz w:val="32"/>
          <w:highlight w:val="white"/>
          <w:lang w:val="en-US"/>
        </w:rPr>
        <w:t>；比2019年度增加</w:t>
      </w:r>
      <w:r>
        <w:rPr>
          <w:rFonts w:hint="eastAsia" w:ascii="仿宋" w:hAnsi="仿宋" w:eastAsia="仿宋"/>
          <w:color w:val="000000"/>
          <w:sz w:val="32"/>
          <w:highlight w:val="white"/>
          <w:lang w:val="en-US" w:eastAsia="zh-CN"/>
        </w:rPr>
        <w:t>2.044</w:t>
      </w:r>
      <w:r>
        <w:rPr>
          <w:rFonts w:hint="eastAsia" w:ascii="仿宋" w:hAnsi="仿宋" w:eastAsia="仿宋"/>
          <w:color w:val="000000"/>
          <w:sz w:val="32"/>
          <w:highlight w:val="white"/>
          <w:lang w:val="en-US"/>
        </w:rPr>
        <w:t>万元，增长</w:t>
      </w:r>
      <w:r>
        <w:rPr>
          <w:rFonts w:hint="eastAsia" w:ascii="仿宋" w:hAnsi="仿宋" w:eastAsia="仿宋"/>
          <w:color w:val="000000"/>
          <w:sz w:val="32"/>
          <w:highlight w:val="white"/>
          <w:lang w:val="en-US" w:eastAsia="zh-CN"/>
        </w:rPr>
        <w:t>10.83</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人员经费支出调整</w:t>
      </w:r>
      <w:r>
        <w:rPr>
          <w:rFonts w:hint="eastAsia" w:ascii="仿宋" w:hAnsi="仿宋" w:eastAsia="仿宋"/>
          <w:color w:val="000000"/>
          <w:sz w:val="32"/>
          <w:highlight w:val="white"/>
          <w:lang w:val="en-US"/>
        </w:rPr>
        <w:t>。</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（十一）政府采购支出说明</w:t>
      </w:r>
    </w:p>
    <w:p>
      <w:pPr>
        <w:spacing w:beforeLines="0" w:afterLines="0" w:line="324" w:lineRule="auto"/>
        <w:ind w:firstLine="594"/>
        <w:rPr>
          <w:rFonts w:hint="eastAsia" w:ascii="仿宋" w:hAnsi="仿宋" w:eastAsia="仿宋"/>
          <w:color w:val="auto"/>
          <w:sz w:val="32"/>
          <w:highlight w:val="white"/>
          <w:lang w:val="en-US"/>
        </w:rPr>
      </w:pPr>
      <w:r>
        <w:rPr>
          <w:rFonts w:hint="eastAsia" w:ascii="仿宋" w:hAnsi="仿宋" w:eastAsia="仿宋"/>
          <w:color w:val="000000"/>
          <w:sz w:val="32"/>
          <w:highlight w:val="white"/>
          <w:lang w:val="en-US"/>
        </w:rPr>
        <w:t>2020年度政府采购支出总额</w:t>
      </w:r>
      <w:r>
        <w:rPr>
          <w:rFonts w:hint="eastAsia" w:ascii="仿宋" w:hAnsi="仿宋" w:eastAsia="仿宋"/>
          <w:color w:val="auto"/>
          <w:kern w:val="0"/>
          <w:sz w:val="32"/>
          <w:highlight w:val="white"/>
          <w:lang w:val="en-US"/>
        </w:rPr>
        <w:t>1</w:t>
      </w:r>
      <w:r>
        <w:rPr>
          <w:rFonts w:hint="eastAsia" w:ascii="仿宋" w:hAnsi="仿宋" w:eastAsia="仿宋"/>
          <w:color w:val="000000"/>
          <w:sz w:val="32"/>
          <w:highlight w:val="white"/>
          <w:lang w:val="en-US"/>
        </w:rPr>
        <w:t>万元，其中：政府采购货物支出</w:t>
      </w:r>
      <w:r>
        <w:rPr>
          <w:rFonts w:hint="eastAsia" w:ascii="仿宋" w:hAnsi="仿宋" w:eastAsia="仿宋"/>
          <w:color w:val="auto"/>
          <w:kern w:val="0"/>
          <w:sz w:val="32"/>
          <w:highlight w:val="white"/>
          <w:lang w:val="en-US"/>
        </w:rPr>
        <w:t>1</w:t>
      </w:r>
      <w:r>
        <w:rPr>
          <w:rFonts w:hint="eastAsia" w:ascii="仿宋" w:hAnsi="仿宋" w:eastAsia="仿宋"/>
          <w:color w:val="000000"/>
          <w:sz w:val="32"/>
          <w:highlight w:val="white"/>
          <w:lang w:val="en-US"/>
        </w:rPr>
        <w:t>万元、政府采购工程支出</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万元、政府采购服务支出</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w:t>
      </w:r>
      <w:r>
        <w:rPr>
          <w:rFonts w:hint="eastAsia" w:ascii="仿宋" w:hAnsi="仿宋" w:eastAsia="仿宋"/>
          <w:color w:val="auto"/>
          <w:sz w:val="32"/>
          <w:highlight w:val="white"/>
          <w:lang w:val="en-US"/>
        </w:rPr>
        <w:t>授予中小企业合同金额</w:t>
      </w:r>
      <w:r>
        <w:rPr>
          <w:rFonts w:hint="eastAsia" w:ascii="仿宋" w:hAnsi="仿宋" w:eastAsia="仿宋"/>
          <w:color w:val="auto"/>
          <w:kern w:val="0"/>
          <w:sz w:val="32"/>
          <w:highlight w:val="white"/>
          <w:lang w:val="en-US"/>
        </w:rPr>
        <w:t>1</w:t>
      </w:r>
      <w:r>
        <w:rPr>
          <w:rFonts w:hint="eastAsia" w:ascii="仿宋" w:hAnsi="仿宋" w:eastAsia="仿宋"/>
          <w:color w:val="auto"/>
          <w:sz w:val="32"/>
          <w:highlight w:val="white"/>
          <w:lang w:val="en-US"/>
        </w:rPr>
        <w:t>万元，占政府采购支出总额的</w:t>
      </w:r>
      <w:r>
        <w:rPr>
          <w:rFonts w:hint="eastAsia" w:ascii="仿宋" w:hAnsi="仿宋" w:eastAsia="仿宋"/>
          <w:color w:val="auto"/>
          <w:kern w:val="0"/>
          <w:sz w:val="32"/>
          <w:highlight w:val="white"/>
          <w:lang w:val="en-US"/>
        </w:rPr>
        <w:t>100</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其中，授予小微企业合同金额</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万元，占政府采购支出总额的</w:t>
      </w:r>
      <w:r>
        <w:rPr>
          <w:rFonts w:hint="eastAsia" w:ascii="仿宋" w:hAnsi="仿宋" w:eastAsia="仿宋"/>
          <w:color w:val="auto"/>
          <w:kern w:val="0"/>
          <w:sz w:val="32"/>
          <w:highlight w:val="white"/>
          <w:lang w:val="en-US"/>
        </w:rPr>
        <w:t>0</w:t>
      </w:r>
      <w:r>
        <w:rPr>
          <w:rFonts w:hint="eastAsia" w:ascii="仿宋" w:hAnsi="仿宋" w:eastAsia="仿宋"/>
          <w:color w:val="auto"/>
          <w:sz w:val="32"/>
          <w:highlight w:val="white"/>
          <w:lang w:val="en-US"/>
        </w:rPr>
        <w:t>%。</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（十二）国有资产占有情况说明</w:t>
      </w:r>
    </w:p>
    <w:p>
      <w:pPr>
        <w:spacing w:beforeLines="0" w:afterLines="0" w:line="324" w:lineRule="auto"/>
        <w:ind w:firstLine="594"/>
        <w:rPr>
          <w:rFonts w:hint="eastAsia" w:ascii="楷体" w:hAnsi="楷体" w:eastAsia="楷体"/>
          <w:b/>
          <w:color w:val="000000"/>
          <w:sz w:val="32"/>
          <w:highlight w:val="white"/>
          <w:lang w:val="en-US"/>
        </w:rPr>
      </w:pPr>
      <w:r>
        <w:rPr>
          <w:rFonts w:hint="eastAsia" w:ascii="仿宋" w:hAnsi="仿宋" w:eastAsia="仿宋"/>
          <w:color w:val="000000"/>
          <w:sz w:val="32"/>
          <w:highlight w:val="white"/>
          <w:lang w:val="en-US"/>
        </w:rPr>
        <w:t>截至2020年12月31日，</w:t>
      </w:r>
      <w:r>
        <w:rPr>
          <w:rFonts w:ascii="Times New Roman" w:hAnsi="Times New Roman" w:eastAsia="仿宋_GB2312" w:cs="Times New Roman"/>
          <w:bCs/>
          <w:color w:val="000000"/>
          <w:sz w:val="32"/>
          <w:szCs w:val="32"/>
        </w:rPr>
        <w:t>金华市林业</w:t>
      </w:r>
      <w:r>
        <w:rPr>
          <w:rFonts w:hint="eastAsia" w:ascii="Times New Roman" w:hAnsi="Times New Roman" w:eastAsia="仿宋_GB2312" w:cs="Times New Roman"/>
          <w:bCs/>
          <w:color w:val="000000"/>
          <w:sz w:val="32"/>
          <w:szCs w:val="32"/>
          <w:lang w:eastAsia="zh-CN"/>
        </w:rPr>
        <w:t>种苗管理</w:t>
      </w:r>
      <w:r>
        <w:rPr>
          <w:rFonts w:hint="eastAsia" w:ascii="Times New Roman" w:hAnsi="Times New Roman" w:eastAsia="仿宋_GB2312" w:cs="Times New Roman"/>
          <w:bCs/>
          <w:color w:val="000000"/>
          <w:sz w:val="32"/>
          <w:szCs w:val="32"/>
        </w:rPr>
        <w:t>站</w:t>
      </w:r>
      <w:r>
        <w:rPr>
          <w:rFonts w:hint="eastAsia" w:ascii="仿宋" w:hAnsi="仿宋" w:eastAsia="仿宋"/>
          <w:color w:val="000000"/>
          <w:sz w:val="32"/>
          <w:highlight w:val="white"/>
          <w:lang w:val="en-US"/>
        </w:rPr>
        <w:t>共有车辆</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辆，其中，副部（省）级及以上领导用车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辆、主要领导干部用车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辆、机要通信用车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辆、应急保障用车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辆、执法执勤用车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辆、特种专业技术用车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辆、离退休干部用车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辆、其他用车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辆；单价50万元以上通用设备</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台（套），单价100万元以上专用设备</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台（套）。</w:t>
      </w:r>
      <w:r>
        <w:rPr>
          <w:rFonts w:hint="eastAsia" w:ascii="仿宋_GB2312" w:hAnsi="仿宋_GB2312" w:eastAsia="仿宋_GB2312"/>
          <w:color w:val="000000"/>
          <w:sz w:val="32"/>
          <w:highlight w:val="white"/>
          <w:lang w:val="en-US"/>
        </w:rPr>
        <w:t xml:space="preserve"> </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_GB2312" w:hAnsi="仿宋_GB2312" w:eastAsia="仿宋_GB2312"/>
          <w:color w:val="000000"/>
          <w:sz w:val="32"/>
          <w:highlight w:val="white"/>
          <w:lang w:val="en-US"/>
        </w:rPr>
        <w:t xml:space="preserve"> </w:t>
      </w:r>
      <w:r>
        <w:rPr>
          <w:rFonts w:hint="eastAsia" w:ascii="楷体" w:hAnsi="楷体" w:eastAsia="楷体"/>
          <w:b/>
          <w:color w:val="000000"/>
          <w:sz w:val="32"/>
          <w:highlight w:val="white"/>
          <w:lang w:val="en-US"/>
        </w:rPr>
        <w:t>（十三）预算绩效情况说明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1.预算绩效管理工作开展情况。</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根据预算绩效管理要求，</w:t>
      </w:r>
      <w:r>
        <w:rPr>
          <w:rFonts w:ascii="Times New Roman" w:hAnsi="Times New Roman" w:eastAsia="仿宋_GB2312" w:cs="Times New Roman"/>
          <w:bCs/>
          <w:color w:val="000000"/>
          <w:sz w:val="32"/>
          <w:szCs w:val="32"/>
        </w:rPr>
        <w:t>金华市林业</w:t>
      </w:r>
      <w:r>
        <w:rPr>
          <w:rFonts w:hint="eastAsia" w:ascii="Times New Roman" w:hAnsi="Times New Roman" w:eastAsia="仿宋_GB2312" w:cs="Times New Roman"/>
          <w:bCs/>
          <w:color w:val="000000"/>
          <w:sz w:val="32"/>
          <w:szCs w:val="32"/>
          <w:lang w:eastAsia="zh-CN"/>
        </w:rPr>
        <w:t>种苗管理</w:t>
      </w:r>
      <w:r>
        <w:rPr>
          <w:rFonts w:hint="eastAsia" w:ascii="Times New Roman" w:hAnsi="Times New Roman" w:eastAsia="仿宋_GB2312" w:cs="Times New Roman"/>
          <w:bCs/>
          <w:color w:val="000000"/>
          <w:sz w:val="32"/>
          <w:szCs w:val="32"/>
        </w:rPr>
        <w:t>站</w:t>
      </w:r>
      <w:r>
        <w:rPr>
          <w:rFonts w:hint="eastAsia" w:ascii="仿宋" w:hAnsi="仿宋" w:eastAsia="仿宋"/>
          <w:color w:val="000000"/>
          <w:sz w:val="32"/>
          <w:highlight w:val="white"/>
          <w:lang w:val="en-US"/>
        </w:rPr>
        <w:t>对2020年度一般公共预算项目支出全面开展绩效自评，其中，一级项目</w:t>
      </w:r>
      <w:r>
        <w:rPr>
          <w:rFonts w:hint="eastAsia" w:ascii="仿宋" w:hAnsi="仿宋" w:eastAsia="仿宋"/>
          <w:color w:val="000000"/>
          <w:sz w:val="32"/>
          <w:highlight w:val="white"/>
          <w:lang w:val="en-US" w:eastAsia="zh-CN"/>
        </w:rPr>
        <w:t>1</w:t>
      </w:r>
      <w:r>
        <w:rPr>
          <w:rFonts w:hint="eastAsia" w:ascii="仿宋" w:hAnsi="仿宋" w:eastAsia="仿宋"/>
          <w:color w:val="000000"/>
          <w:sz w:val="32"/>
          <w:highlight w:val="white"/>
          <w:lang w:val="en-US"/>
        </w:rPr>
        <w:t>个，二级项目</w:t>
      </w:r>
      <w:r>
        <w:rPr>
          <w:rFonts w:hint="eastAsia" w:ascii="仿宋" w:hAnsi="仿宋" w:eastAsia="仿宋"/>
          <w:color w:val="000000"/>
          <w:sz w:val="32"/>
          <w:highlight w:val="white"/>
          <w:lang w:val="en-US" w:eastAsia="zh-CN"/>
        </w:rPr>
        <w:t>1</w:t>
      </w:r>
      <w:r>
        <w:rPr>
          <w:rFonts w:hint="eastAsia" w:ascii="仿宋" w:hAnsi="仿宋" w:eastAsia="仿宋"/>
          <w:color w:val="000000"/>
          <w:sz w:val="32"/>
          <w:highlight w:val="white"/>
          <w:lang w:val="en-US"/>
        </w:rPr>
        <w:t>个，共涉及资金</w:t>
      </w:r>
      <w:r>
        <w:rPr>
          <w:rFonts w:hint="eastAsia" w:ascii="仿宋" w:hAnsi="仿宋" w:eastAsia="仿宋"/>
          <w:color w:val="000000"/>
          <w:sz w:val="32"/>
          <w:highlight w:val="white"/>
          <w:lang w:val="en-US" w:eastAsia="zh-CN"/>
        </w:rPr>
        <w:t>4</w:t>
      </w:r>
      <w:r>
        <w:rPr>
          <w:rFonts w:hint="eastAsia" w:ascii="仿宋" w:hAnsi="仿宋" w:eastAsia="仿宋"/>
          <w:color w:val="000000"/>
          <w:sz w:val="32"/>
          <w:highlight w:val="white"/>
          <w:lang w:val="en-US"/>
        </w:rPr>
        <w:t>万元，占一般公共预算项目支出总额的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%。本年无政府性基金预算项目。本年无部门整体支出绩效评价。</w:t>
      </w:r>
    </w:p>
    <w:p>
      <w:pPr>
        <w:spacing w:beforeLines="0" w:afterLines="0" w:line="324" w:lineRule="auto"/>
        <w:ind w:firstLine="642" w:firstLineChars="200"/>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2.单位决算中项目绩效自评结果（本单位2020年度只有一个预算项目）。</w:t>
      </w:r>
    </w:p>
    <w:p>
      <w:pPr>
        <w:spacing w:beforeLines="0" w:afterLines="0" w:line="324" w:lineRule="auto"/>
        <w:ind w:firstLine="640" w:firstLineChars="200"/>
        <w:rPr>
          <w:rFonts w:hint="eastAsia" w:ascii="仿宋" w:hAnsi="仿宋" w:eastAsia="仿宋"/>
          <w:color w:val="000000"/>
          <w:sz w:val="32"/>
          <w:highlight w:val="white"/>
          <w:lang w:val="en-US" w:eastAsia="zh-CN"/>
        </w:rPr>
      </w:pPr>
      <w:r>
        <w:rPr>
          <w:rFonts w:hint="eastAsia" w:ascii="仿宋" w:hAnsi="仿宋" w:eastAsia="仿宋"/>
          <w:color w:val="000000"/>
          <w:sz w:val="32"/>
          <w:highlight w:val="white"/>
          <w:lang w:val="en-US" w:eastAsia="zh-CN"/>
        </w:rPr>
        <w:t>金华市林业种苗行政执法</w:t>
      </w:r>
      <w:r>
        <w:rPr>
          <w:rFonts w:hint="eastAsia" w:ascii="仿宋" w:hAnsi="仿宋" w:eastAsia="仿宋"/>
          <w:color w:val="000000"/>
          <w:sz w:val="32"/>
          <w:highlight w:val="white"/>
          <w:lang w:val="en-US"/>
        </w:rPr>
        <w:t>项目绩效自评综述：根据年初设定的绩效目标，项目自评得分</w:t>
      </w:r>
      <w:r>
        <w:rPr>
          <w:rFonts w:hint="eastAsia" w:ascii="仿宋" w:hAnsi="仿宋" w:eastAsia="仿宋"/>
          <w:color w:val="000000"/>
          <w:sz w:val="32"/>
          <w:highlight w:val="white"/>
          <w:lang w:val="en-US" w:eastAsia="zh-CN"/>
        </w:rPr>
        <w:t>93.05</w:t>
      </w:r>
      <w:r>
        <w:rPr>
          <w:rFonts w:hint="eastAsia" w:ascii="仿宋" w:hAnsi="仿宋" w:eastAsia="仿宋"/>
          <w:color w:val="000000"/>
          <w:sz w:val="32"/>
          <w:highlight w:val="white"/>
          <w:lang w:val="en-US"/>
        </w:rPr>
        <w:t>分，自评结论为</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eastAsia="zh-CN"/>
        </w:rPr>
        <w:t>优</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。项目全年预算数为</w:t>
      </w:r>
      <w:r>
        <w:rPr>
          <w:rFonts w:hint="eastAsia" w:ascii="仿宋" w:hAnsi="仿宋" w:eastAsia="仿宋"/>
          <w:color w:val="000000"/>
          <w:sz w:val="32"/>
          <w:highlight w:val="white"/>
          <w:lang w:val="en-US" w:eastAsia="zh-CN"/>
        </w:rPr>
        <w:t>4</w:t>
      </w:r>
      <w:r>
        <w:rPr>
          <w:rFonts w:hint="eastAsia" w:ascii="仿宋" w:hAnsi="仿宋" w:eastAsia="仿宋"/>
          <w:color w:val="000000"/>
          <w:sz w:val="32"/>
          <w:highlight w:val="white"/>
          <w:lang w:val="en-US"/>
        </w:rPr>
        <w:t>万元，执行数为</w:t>
      </w:r>
      <w:r>
        <w:rPr>
          <w:rFonts w:hint="eastAsia" w:ascii="仿宋" w:hAnsi="仿宋" w:eastAsia="仿宋"/>
          <w:color w:val="000000"/>
          <w:sz w:val="32"/>
          <w:highlight w:val="white"/>
          <w:lang w:val="en-US" w:eastAsia="zh-CN"/>
        </w:rPr>
        <w:t>2.02</w:t>
      </w:r>
      <w:r>
        <w:rPr>
          <w:rFonts w:hint="eastAsia" w:ascii="仿宋" w:hAnsi="仿宋" w:eastAsia="仿宋"/>
          <w:color w:val="000000"/>
          <w:sz w:val="32"/>
          <w:highlight w:val="white"/>
          <w:lang w:val="en-US"/>
        </w:rPr>
        <w:t>万元，完成预算的</w:t>
      </w:r>
      <w:r>
        <w:rPr>
          <w:rFonts w:hint="eastAsia" w:ascii="仿宋" w:hAnsi="仿宋" w:eastAsia="仿宋"/>
          <w:color w:val="000000"/>
          <w:sz w:val="32"/>
          <w:highlight w:val="white"/>
          <w:lang w:val="en-US" w:eastAsia="zh-CN"/>
        </w:rPr>
        <w:t>51</w:t>
      </w:r>
      <w:r>
        <w:rPr>
          <w:rFonts w:hint="eastAsia" w:ascii="仿宋" w:hAnsi="仿宋" w:eastAsia="仿宋"/>
          <w:color w:val="000000"/>
          <w:sz w:val="32"/>
          <w:highlight w:val="white"/>
          <w:lang w:val="en-US"/>
        </w:rPr>
        <w:t>%。项目绩效目标完成情况：一是</w:t>
      </w:r>
      <w:r>
        <w:rPr>
          <w:rFonts w:hint="eastAsia" w:ascii="仿宋" w:hAnsi="仿宋" w:eastAsia="仿宋"/>
          <w:color w:val="000000"/>
          <w:sz w:val="32"/>
          <w:highlight w:val="white"/>
          <w:lang w:val="en-US" w:eastAsia="zh-CN"/>
        </w:rPr>
        <w:t>开展林业种苗执法</w:t>
      </w:r>
      <w:r>
        <w:rPr>
          <w:rFonts w:hint="eastAsia" w:ascii="仿宋" w:hAnsi="仿宋" w:eastAsia="仿宋"/>
          <w:color w:val="000000"/>
          <w:sz w:val="32"/>
          <w:highlight w:val="white"/>
          <w:lang w:val="en-US"/>
        </w:rPr>
        <w:t>；二是</w:t>
      </w:r>
      <w:r>
        <w:rPr>
          <w:rFonts w:hint="eastAsia" w:ascii="仿宋" w:hAnsi="仿宋" w:eastAsia="仿宋"/>
          <w:color w:val="000000"/>
          <w:sz w:val="32"/>
          <w:highlight w:val="white"/>
          <w:lang w:val="en-US" w:eastAsia="zh-CN"/>
        </w:rPr>
        <w:t>开展花卉苗木产业、新技术新品种等内容培训</w:t>
      </w:r>
      <w:r>
        <w:rPr>
          <w:rFonts w:hint="eastAsia" w:ascii="仿宋" w:hAnsi="仿宋" w:eastAsia="仿宋"/>
          <w:color w:val="000000"/>
          <w:sz w:val="32"/>
          <w:highlight w:val="white"/>
          <w:lang w:val="en-US"/>
        </w:rPr>
        <w:t>。发现的问题及原因：一是</w:t>
      </w:r>
      <w:r>
        <w:rPr>
          <w:rFonts w:hint="eastAsia" w:ascii="仿宋" w:hAnsi="仿宋" w:eastAsia="仿宋"/>
          <w:color w:val="000000"/>
          <w:sz w:val="32"/>
          <w:highlight w:val="white"/>
          <w:lang w:val="en-US" w:eastAsia="zh-CN"/>
        </w:rPr>
        <w:t>执行率不高，原因是疫情影响，对县（市、区）业务指导、检查较少</w:t>
      </w:r>
      <w:r>
        <w:rPr>
          <w:rFonts w:hint="eastAsia" w:ascii="仿宋" w:hAnsi="仿宋" w:eastAsia="仿宋"/>
          <w:color w:val="000000"/>
          <w:sz w:val="32"/>
          <w:highlight w:val="white"/>
          <w:lang w:val="en-US"/>
        </w:rPr>
        <w:t>。下一步改进措施：</w:t>
      </w:r>
      <w:r>
        <w:rPr>
          <w:rFonts w:hint="eastAsia" w:ascii="仿宋" w:hAnsi="仿宋" w:eastAsia="仿宋"/>
          <w:color w:val="000000"/>
          <w:sz w:val="32"/>
          <w:highlight w:val="white"/>
          <w:lang w:val="en-US" w:eastAsia="zh-CN"/>
        </w:rPr>
        <w:t>加强对县（市、区）业务指导、检查。</w:t>
      </w:r>
    </w:p>
    <w:p>
      <w:pPr>
        <w:snapToGrid w:val="0"/>
        <w:spacing w:line="500" w:lineRule="exact"/>
        <w:rPr>
          <w:rFonts w:hint="eastAsia" w:ascii="黑体" w:hAnsi="黑体" w:eastAsia="黑体" w:cs="黑体"/>
          <w:sz w:val="32"/>
          <w:szCs w:val="32"/>
        </w:rPr>
      </w:pPr>
    </w:p>
    <w:p>
      <w:pPr>
        <w:widowControl/>
        <w:spacing w:line="560" w:lineRule="exact"/>
        <w:jc w:val="center"/>
        <w:rPr>
          <w:rFonts w:ascii="Times New Roman" w:hAnsi="Times New Roman" w:eastAsia="方正小标宋简体"/>
          <w:bCs/>
          <w:kern w:val="0"/>
          <w:sz w:val="44"/>
          <w:szCs w:val="44"/>
        </w:rPr>
      </w:pPr>
      <w:r>
        <w:rPr>
          <w:rFonts w:ascii="Times New Roman" w:hAnsi="Times New Roman" w:eastAsia="方正小标宋简体"/>
          <w:bCs/>
          <w:kern w:val="0"/>
          <w:sz w:val="44"/>
          <w:szCs w:val="44"/>
        </w:rPr>
        <w:t>金华市本级项目支出绩效自评表</w:t>
      </w:r>
    </w:p>
    <w:p>
      <w:pPr>
        <w:widowControl/>
        <w:spacing w:line="560" w:lineRule="exact"/>
        <w:jc w:val="center"/>
        <w:rPr>
          <w:rFonts w:hint="eastAsia"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（2020年度）</w:t>
      </w:r>
    </w:p>
    <w:p>
      <w:pPr>
        <w:widowControl/>
        <w:spacing w:line="560" w:lineRule="exact"/>
        <w:rPr>
          <w:rFonts w:hint="eastAsia" w:ascii="Times New Roman" w:hAnsi="Times New Roman" w:eastAsia="仿宋_GB2312"/>
          <w:kern w:val="0"/>
          <w:sz w:val="24"/>
          <w:lang w:eastAsia="zh-CN"/>
        </w:rPr>
      </w:pPr>
      <w:r>
        <w:rPr>
          <w:rFonts w:ascii="Times New Roman" w:hAnsi="Times New Roman" w:eastAsia="仿宋_GB2312"/>
          <w:kern w:val="0"/>
          <w:sz w:val="24"/>
        </w:rPr>
        <w:t>实施单位（盖章）：</w:t>
      </w:r>
      <w:r>
        <w:rPr>
          <w:rFonts w:hint="eastAsia" w:ascii="Times New Roman" w:hAnsi="Times New Roman" w:eastAsia="仿宋_GB2312"/>
          <w:kern w:val="0"/>
          <w:sz w:val="24"/>
          <w:lang w:eastAsia="zh-CN"/>
        </w:rPr>
        <w:t>金华市林业种苗管理站</w:t>
      </w:r>
    </w:p>
    <w:tbl>
      <w:tblPr>
        <w:tblStyle w:val="4"/>
        <w:tblW w:w="9580" w:type="dxa"/>
        <w:jc w:val="center"/>
        <w:tblLayout w:type="fixed"/>
        <w:tblCellMar>
          <w:top w:w="0" w:type="dxa"/>
          <w:left w:w="108" w:type="dxa"/>
          <w:bottom w:w="0" w:type="dxa"/>
          <w:right w:w="108" w:type="dxa"/>
        </w:tblCellMar>
      </w:tblPr>
      <w:tblGrid>
        <w:gridCol w:w="648"/>
        <w:gridCol w:w="972"/>
        <w:gridCol w:w="100"/>
        <w:gridCol w:w="47"/>
        <w:gridCol w:w="1168"/>
        <w:gridCol w:w="425"/>
        <w:gridCol w:w="760"/>
        <w:gridCol w:w="1050"/>
        <w:gridCol w:w="90"/>
        <w:gridCol w:w="1125"/>
        <w:gridCol w:w="702"/>
        <w:gridCol w:w="141"/>
        <w:gridCol w:w="633"/>
        <w:gridCol w:w="1719"/>
      </w:tblGrid>
      <w:tr>
        <w:tblPrEx>
          <w:tblCellMar>
            <w:top w:w="0" w:type="dxa"/>
            <w:left w:w="108" w:type="dxa"/>
            <w:bottom w:w="0" w:type="dxa"/>
            <w:right w:w="108" w:type="dxa"/>
          </w:tblCellMar>
        </w:tblPrEx>
        <w:trPr>
          <w:trHeight w:val="353"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项目名称</w:t>
            </w:r>
          </w:p>
        </w:tc>
        <w:tc>
          <w:tcPr>
            <w:tcW w:w="7960" w:type="dxa"/>
            <w:gridSpan w:val="12"/>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kern w:val="0"/>
                <w:sz w:val="24"/>
                <w:lang w:eastAsia="zh-CN"/>
              </w:rPr>
            </w:pPr>
            <w:r>
              <w:rPr>
                <w:rFonts w:hint="eastAsia" w:ascii="Times New Roman" w:hAnsi="Times New Roman" w:eastAsia="仿宋_GB2312"/>
                <w:kern w:val="0"/>
                <w:sz w:val="24"/>
                <w:lang w:eastAsia="zh-CN"/>
              </w:rPr>
              <w:t>金华市林业种苗行政执法</w:t>
            </w:r>
          </w:p>
        </w:tc>
      </w:tr>
      <w:tr>
        <w:tblPrEx>
          <w:tblCellMar>
            <w:top w:w="0" w:type="dxa"/>
            <w:left w:w="108" w:type="dxa"/>
            <w:bottom w:w="0" w:type="dxa"/>
            <w:right w:w="108" w:type="dxa"/>
          </w:tblCellMar>
        </w:tblPrEx>
        <w:trPr>
          <w:trHeight w:val="353"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主管部门</w:t>
            </w:r>
          </w:p>
        </w:tc>
        <w:tc>
          <w:tcPr>
            <w:tcW w:w="3550" w:type="dxa"/>
            <w:gridSpan w:val="6"/>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kern w:val="0"/>
                <w:sz w:val="24"/>
                <w:lang w:eastAsia="zh-CN"/>
              </w:rPr>
            </w:pPr>
            <w:r>
              <w:rPr>
                <w:rFonts w:hint="eastAsia" w:ascii="Times New Roman" w:hAnsi="Times New Roman" w:eastAsia="仿宋_GB2312"/>
                <w:kern w:val="0"/>
                <w:sz w:val="24"/>
                <w:lang w:eastAsia="zh-CN"/>
              </w:rPr>
              <w:t>金华市自然资源和规划局</w:t>
            </w:r>
          </w:p>
        </w:tc>
        <w:tc>
          <w:tcPr>
            <w:tcW w:w="2058"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实施单位</w:t>
            </w:r>
          </w:p>
        </w:tc>
        <w:tc>
          <w:tcPr>
            <w:tcW w:w="2352"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both"/>
              <w:rPr>
                <w:rFonts w:hint="eastAsia" w:ascii="Times New Roman" w:hAnsi="Times New Roman" w:eastAsia="仿宋_GB2312"/>
                <w:kern w:val="0"/>
                <w:sz w:val="24"/>
                <w:lang w:eastAsia="zh-CN"/>
              </w:rPr>
            </w:pPr>
            <w:r>
              <w:rPr>
                <w:rFonts w:hint="eastAsia" w:ascii="Times New Roman" w:hAnsi="Times New Roman" w:eastAsia="仿宋_GB2312" w:cs="Times New Roman"/>
                <w:kern w:val="0"/>
                <w:sz w:val="21"/>
                <w:szCs w:val="21"/>
                <w:lang w:eastAsia="zh-CN"/>
              </w:rPr>
              <w:t>金华市林业种苗管理站</w:t>
            </w:r>
          </w:p>
        </w:tc>
      </w:tr>
      <w:tr>
        <w:tblPrEx>
          <w:tblCellMar>
            <w:top w:w="0" w:type="dxa"/>
            <w:left w:w="108" w:type="dxa"/>
            <w:bottom w:w="0" w:type="dxa"/>
            <w:right w:w="108" w:type="dxa"/>
          </w:tblCellMar>
        </w:tblPrEx>
        <w:trPr>
          <w:trHeight w:val="340"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起止时间</w:t>
            </w:r>
          </w:p>
        </w:tc>
        <w:tc>
          <w:tcPr>
            <w:tcW w:w="7960" w:type="dxa"/>
            <w:gridSpan w:val="12"/>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default" w:ascii="Times New Roman" w:hAnsi="Times New Roman" w:eastAsia="仿宋_GB2312"/>
                <w:kern w:val="0"/>
                <w:sz w:val="24"/>
                <w:lang w:val="en-US" w:eastAsia="zh-CN"/>
              </w:rPr>
            </w:pPr>
            <w:r>
              <w:rPr>
                <w:rFonts w:hint="eastAsia" w:ascii="Times New Roman" w:hAnsi="Times New Roman" w:eastAsia="仿宋_GB2312"/>
                <w:kern w:val="0"/>
                <w:sz w:val="24"/>
                <w:lang w:val="en-US" w:eastAsia="zh-CN"/>
              </w:rPr>
              <w:t>2020年1月—12月</w:t>
            </w:r>
          </w:p>
        </w:tc>
      </w:tr>
      <w:tr>
        <w:tblPrEx>
          <w:tblCellMar>
            <w:top w:w="0" w:type="dxa"/>
            <w:left w:w="108" w:type="dxa"/>
            <w:bottom w:w="0" w:type="dxa"/>
            <w:right w:w="108" w:type="dxa"/>
          </w:tblCellMar>
        </w:tblPrEx>
        <w:trPr>
          <w:trHeight w:val="311" w:hRule="atLeast"/>
          <w:jc w:val="center"/>
        </w:trPr>
        <w:tc>
          <w:tcPr>
            <w:tcW w:w="1620" w:type="dxa"/>
            <w:gridSpan w:val="2"/>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项目资金（万元）</w:t>
            </w:r>
          </w:p>
        </w:tc>
        <w:tc>
          <w:tcPr>
            <w:tcW w:w="174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90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年初预算数</w:t>
            </w:r>
          </w:p>
        </w:tc>
        <w:tc>
          <w:tcPr>
            <w:tcW w:w="1968"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全年预算数</w:t>
            </w:r>
          </w:p>
        </w:tc>
        <w:tc>
          <w:tcPr>
            <w:tcW w:w="2352"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全年执行数</w:t>
            </w:r>
          </w:p>
        </w:tc>
      </w:tr>
      <w:tr>
        <w:tblPrEx>
          <w:tblCellMar>
            <w:top w:w="0" w:type="dxa"/>
            <w:left w:w="108" w:type="dxa"/>
            <w:bottom w:w="0" w:type="dxa"/>
            <w:right w:w="108" w:type="dxa"/>
          </w:tblCellMar>
        </w:tblPrEx>
        <w:trPr>
          <w:trHeight w:val="358" w:hRule="atLeast"/>
          <w:jc w:val="center"/>
        </w:trPr>
        <w:tc>
          <w:tcPr>
            <w:tcW w:w="1620" w:type="dxa"/>
            <w:gridSpan w:val="2"/>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sz w:val="24"/>
              </w:rPr>
            </w:pPr>
          </w:p>
        </w:tc>
        <w:tc>
          <w:tcPr>
            <w:tcW w:w="174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Times New Roman" w:hAnsi="Times New Roman" w:eastAsia="仿宋_GB2312"/>
                <w:sz w:val="24"/>
              </w:rPr>
            </w:pPr>
            <w:r>
              <w:rPr>
                <w:rFonts w:ascii="Times New Roman" w:hAnsi="Times New Roman" w:eastAsia="仿宋_GB2312"/>
                <w:sz w:val="24"/>
              </w:rPr>
              <w:t>年度资金总额</w:t>
            </w:r>
          </w:p>
        </w:tc>
        <w:tc>
          <w:tcPr>
            <w:tcW w:w="190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4</w:t>
            </w:r>
          </w:p>
        </w:tc>
        <w:tc>
          <w:tcPr>
            <w:tcW w:w="1968"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4</w:t>
            </w:r>
          </w:p>
        </w:tc>
        <w:tc>
          <w:tcPr>
            <w:tcW w:w="2352"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default" w:ascii="Times New Roman" w:hAnsi="Times New Roman" w:eastAsia="仿宋_GB2312"/>
                <w:kern w:val="0"/>
                <w:sz w:val="24"/>
                <w:lang w:val="en-US" w:eastAsia="zh-CN"/>
              </w:rPr>
            </w:pPr>
            <w:r>
              <w:rPr>
                <w:rFonts w:hint="eastAsia" w:ascii="Times New Roman" w:hAnsi="Times New Roman" w:eastAsia="仿宋_GB2312"/>
                <w:kern w:val="0"/>
                <w:sz w:val="24"/>
                <w:lang w:val="en-US" w:eastAsia="zh-CN"/>
              </w:rPr>
              <w:t>2.02</w:t>
            </w:r>
          </w:p>
        </w:tc>
      </w:tr>
      <w:tr>
        <w:tblPrEx>
          <w:tblCellMar>
            <w:top w:w="0" w:type="dxa"/>
            <w:left w:w="108" w:type="dxa"/>
            <w:bottom w:w="0" w:type="dxa"/>
            <w:right w:w="108" w:type="dxa"/>
          </w:tblCellMar>
        </w:tblPrEx>
        <w:trPr>
          <w:trHeight w:val="558" w:hRule="atLeast"/>
          <w:jc w:val="center"/>
        </w:trPr>
        <w:tc>
          <w:tcPr>
            <w:tcW w:w="1620" w:type="dxa"/>
            <w:gridSpan w:val="2"/>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740" w:type="dxa"/>
            <w:gridSpan w:val="4"/>
            <w:tcBorders>
              <w:top w:val="single" w:color="000000" w:sz="4" w:space="0"/>
              <w:left w:val="nil"/>
              <w:bottom w:val="single" w:color="000000" w:sz="4" w:space="0"/>
              <w:right w:val="single" w:color="000000" w:sz="4" w:space="0"/>
            </w:tcBorders>
            <w:vAlign w:val="center"/>
          </w:tcPr>
          <w:p>
            <w:pPr>
              <w:widowControl/>
              <w:spacing w:line="240" w:lineRule="exact"/>
              <w:rPr>
                <w:rFonts w:ascii="Times New Roman" w:hAnsi="Times New Roman" w:eastAsia="仿宋_GB2312"/>
                <w:kern w:val="0"/>
                <w:sz w:val="24"/>
              </w:rPr>
            </w:pPr>
            <w:r>
              <w:rPr>
                <w:rFonts w:ascii="Times New Roman" w:hAnsi="Times New Roman" w:eastAsia="仿宋_GB2312"/>
                <w:kern w:val="0"/>
                <w:sz w:val="24"/>
              </w:rPr>
              <w:t>其中：市本级</w:t>
            </w:r>
          </w:p>
          <w:p>
            <w:pPr>
              <w:widowControl/>
              <w:spacing w:line="240" w:lineRule="exact"/>
              <w:jc w:val="right"/>
              <w:rPr>
                <w:rFonts w:ascii="Times New Roman" w:hAnsi="Times New Roman" w:eastAsia="仿宋_GB2312"/>
                <w:kern w:val="0"/>
                <w:sz w:val="24"/>
              </w:rPr>
            </w:pPr>
            <w:r>
              <w:rPr>
                <w:rFonts w:ascii="Times New Roman" w:hAnsi="Times New Roman" w:eastAsia="仿宋_GB2312"/>
                <w:kern w:val="0"/>
                <w:sz w:val="24"/>
              </w:rPr>
              <w:t>安排资金</w:t>
            </w:r>
          </w:p>
        </w:tc>
        <w:tc>
          <w:tcPr>
            <w:tcW w:w="190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kern w:val="0"/>
                <w:sz w:val="24"/>
                <w:lang w:val="en-US" w:eastAsia="zh-CN"/>
              </w:rPr>
            </w:pPr>
            <w:r>
              <w:rPr>
                <w:rFonts w:hint="eastAsia" w:ascii="Times New Roman" w:hAnsi="Times New Roman" w:eastAsia="仿宋_GB2312"/>
                <w:kern w:val="0"/>
                <w:sz w:val="24"/>
                <w:lang w:val="en-US" w:eastAsia="zh-CN"/>
              </w:rPr>
              <w:t>4</w:t>
            </w:r>
          </w:p>
        </w:tc>
        <w:tc>
          <w:tcPr>
            <w:tcW w:w="1968"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kern w:val="0"/>
                <w:sz w:val="24"/>
                <w:lang w:val="en-US" w:eastAsia="zh-CN"/>
              </w:rPr>
            </w:pPr>
            <w:r>
              <w:rPr>
                <w:rFonts w:hint="eastAsia" w:ascii="Times New Roman" w:hAnsi="Times New Roman" w:eastAsia="仿宋_GB2312"/>
                <w:kern w:val="0"/>
                <w:sz w:val="24"/>
                <w:lang w:val="en-US" w:eastAsia="zh-CN"/>
              </w:rPr>
              <w:t>4</w:t>
            </w:r>
          </w:p>
        </w:tc>
        <w:tc>
          <w:tcPr>
            <w:tcW w:w="2352"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default" w:ascii="Times New Roman" w:hAnsi="Times New Roman" w:eastAsia="仿宋_GB2312"/>
                <w:kern w:val="0"/>
                <w:sz w:val="24"/>
                <w:lang w:val="en-US" w:eastAsia="zh-CN"/>
              </w:rPr>
            </w:pPr>
            <w:r>
              <w:rPr>
                <w:rFonts w:hint="eastAsia" w:ascii="Times New Roman" w:hAnsi="Times New Roman" w:eastAsia="仿宋_GB2312"/>
                <w:kern w:val="0"/>
                <w:sz w:val="24"/>
                <w:lang w:val="en-US" w:eastAsia="zh-CN"/>
              </w:rPr>
              <w:t>2.02</w:t>
            </w:r>
          </w:p>
        </w:tc>
      </w:tr>
      <w:tr>
        <w:tblPrEx>
          <w:tblCellMar>
            <w:top w:w="0" w:type="dxa"/>
            <w:left w:w="108" w:type="dxa"/>
            <w:bottom w:w="0" w:type="dxa"/>
            <w:right w:w="108" w:type="dxa"/>
          </w:tblCellMar>
        </w:tblPrEx>
        <w:trPr>
          <w:trHeight w:val="373" w:hRule="atLeast"/>
          <w:jc w:val="center"/>
        </w:trPr>
        <w:tc>
          <w:tcPr>
            <w:tcW w:w="648"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bCs/>
                <w:kern w:val="0"/>
                <w:sz w:val="24"/>
              </w:rPr>
            </w:pPr>
            <w:r>
              <w:rPr>
                <w:rFonts w:ascii="Times New Roman" w:hAnsi="Times New Roman" w:eastAsia="仿宋_GB2312"/>
                <w:bCs/>
                <w:kern w:val="0"/>
                <w:sz w:val="24"/>
              </w:rPr>
              <w:t>年度总体目标</w:t>
            </w:r>
          </w:p>
        </w:tc>
        <w:tc>
          <w:tcPr>
            <w:tcW w:w="4612"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bCs/>
                <w:kern w:val="0"/>
                <w:sz w:val="24"/>
              </w:rPr>
            </w:pPr>
            <w:r>
              <w:rPr>
                <w:rFonts w:ascii="Times New Roman" w:hAnsi="Times New Roman" w:eastAsia="仿宋_GB2312"/>
                <w:bCs/>
                <w:kern w:val="0"/>
                <w:sz w:val="24"/>
              </w:rPr>
              <w:t>预期目标</w:t>
            </w:r>
          </w:p>
        </w:tc>
        <w:tc>
          <w:tcPr>
            <w:tcW w:w="432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bCs/>
                <w:kern w:val="0"/>
                <w:sz w:val="24"/>
              </w:rPr>
            </w:pPr>
            <w:r>
              <w:rPr>
                <w:rFonts w:ascii="Times New Roman" w:hAnsi="Times New Roman" w:eastAsia="仿宋_GB2312"/>
                <w:bCs/>
                <w:kern w:val="0"/>
                <w:sz w:val="24"/>
              </w:rPr>
              <w:t>实际完成情况</w:t>
            </w:r>
          </w:p>
        </w:tc>
      </w:tr>
      <w:tr>
        <w:tblPrEx>
          <w:tblCellMar>
            <w:top w:w="0" w:type="dxa"/>
            <w:left w:w="108" w:type="dxa"/>
            <w:bottom w:w="0" w:type="dxa"/>
            <w:right w:w="108" w:type="dxa"/>
          </w:tblCellMar>
        </w:tblPrEx>
        <w:trPr>
          <w:trHeight w:val="2020" w:hRule="atLeast"/>
          <w:jc w:val="center"/>
        </w:trPr>
        <w:tc>
          <w:tcPr>
            <w:tcW w:w="648"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bCs/>
                <w:kern w:val="0"/>
                <w:sz w:val="24"/>
              </w:rPr>
            </w:pPr>
          </w:p>
        </w:tc>
        <w:tc>
          <w:tcPr>
            <w:tcW w:w="4612" w:type="dxa"/>
            <w:gridSpan w:val="8"/>
            <w:tcBorders>
              <w:top w:val="single" w:color="000000" w:sz="4" w:space="0"/>
              <w:left w:val="single" w:color="000000" w:sz="4" w:space="0"/>
              <w:bottom w:val="single" w:color="000000" w:sz="4" w:space="0"/>
              <w:right w:val="single" w:color="000000" w:sz="4" w:space="0"/>
            </w:tcBorders>
            <w:vAlign w:val="center"/>
          </w:tcPr>
          <w:p>
            <w:pPr>
              <w:pStyle w:val="6"/>
              <w:widowControl w:val="0"/>
              <w:spacing w:line="560" w:lineRule="exact"/>
              <w:ind w:firstLine="360" w:firstLineChars="200"/>
              <w:rPr>
                <w:sz w:val="18"/>
                <w:szCs w:val="18"/>
              </w:rPr>
            </w:pPr>
            <w:r>
              <w:rPr>
                <w:rFonts w:hint="eastAsia" w:ascii="宋体" w:hAnsi="宋体" w:eastAsia="宋体" w:cs="宋体"/>
                <w:color w:val="auto"/>
                <w:kern w:val="0"/>
                <w:sz w:val="18"/>
                <w:szCs w:val="18"/>
                <w:lang w:val="en-US" w:eastAsia="zh-CN" w:bidi="ar-SA"/>
              </w:rPr>
              <w:t>开展《种子法》、《浙江省实施&lt;中华人民共和国种子法&gt;办法》等法律的宣传和执法，包括林业种苗执法，花卉苗木产业、新技术新品种等相关内容培训。通过项目实施，规范林木种子生产经营秩序，确保我市花卉苗木产业健康稳定发展。</w:t>
            </w:r>
          </w:p>
          <w:p>
            <w:pPr>
              <w:widowControl/>
              <w:spacing w:line="240" w:lineRule="exact"/>
              <w:jc w:val="center"/>
              <w:rPr>
                <w:rFonts w:ascii="Times New Roman" w:hAnsi="Times New Roman" w:eastAsia="仿宋_GB2312"/>
                <w:bCs/>
                <w:kern w:val="0"/>
                <w:sz w:val="24"/>
              </w:rPr>
            </w:pPr>
          </w:p>
        </w:tc>
        <w:tc>
          <w:tcPr>
            <w:tcW w:w="4320" w:type="dxa"/>
            <w:gridSpan w:val="5"/>
            <w:tcBorders>
              <w:top w:val="single" w:color="000000" w:sz="4" w:space="0"/>
              <w:left w:val="single" w:color="000000" w:sz="4" w:space="0"/>
              <w:bottom w:val="single" w:color="000000" w:sz="4" w:space="0"/>
              <w:right w:val="single" w:color="000000" w:sz="4" w:space="0"/>
            </w:tcBorders>
            <w:vAlign w:val="center"/>
          </w:tcPr>
          <w:p>
            <w:pPr>
              <w:pStyle w:val="6"/>
              <w:widowControl w:val="0"/>
              <w:spacing w:line="560" w:lineRule="exact"/>
              <w:ind w:firstLine="360" w:firstLineChars="200"/>
              <w:rPr>
                <w:sz w:val="18"/>
                <w:szCs w:val="18"/>
              </w:rPr>
            </w:pPr>
            <w:r>
              <w:rPr>
                <w:rFonts w:hint="eastAsia" w:ascii="宋体" w:hAnsi="宋体" w:eastAsia="宋体" w:cs="宋体"/>
                <w:color w:val="auto"/>
                <w:kern w:val="0"/>
                <w:sz w:val="18"/>
                <w:szCs w:val="18"/>
                <w:lang w:val="en-US" w:eastAsia="zh-CN" w:bidi="ar-SA"/>
              </w:rPr>
              <w:t>开展《种子法》、《浙江省实施&lt;中华人民共和国种子法&gt;办法》等法律的宣传和执法，包括林业种苗执法，花卉苗木产业、新技术新品种等相关内容培训。通过项目实施，规范林木种子生产经营秩序，确保我市花卉苗木产业健康稳定发展。</w:t>
            </w:r>
          </w:p>
          <w:p>
            <w:pPr>
              <w:widowControl/>
              <w:spacing w:line="240" w:lineRule="exact"/>
              <w:jc w:val="center"/>
              <w:rPr>
                <w:rFonts w:ascii="Times New Roman" w:hAnsi="Times New Roman" w:eastAsia="仿宋_GB2312"/>
                <w:bCs/>
                <w:kern w:val="0"/>
                <w:sz w:val="24"/>
              </w:rPr>
            </w:pPr>
          </w:p>
        </w:tc>
      </w:tr>
      <w:tr>
        <w:tblPrEx>
          <w:tblCellMar>
            <w:top w:w="0" w:type="dxa"/>
            <w:left w:w="108" w:type="dxa"/>
            <w:bottom w:w="0" w:type="dxa"/>
            <w:right w:w="108" w:type="dxa"/>
          </w:tblCellMar>
        </w:tblPrEx>
        <w:trPr>
          <w:trHeight w:val="730" w:hRule="atLeast"/>
          <w:jc w:val="center"/>
        </w:trPr>
        <w:tc>
          <w:tcPr>
            <w:tcW w:w="648"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绩 效 指 标</w:t>
            </w:r>
          </w:p>
        </w:tc>
        <w:tc>
          <w:tcPr>
            <w:tcW w:w="107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一级指标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二级指标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三级指标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年度指标值</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实际完成值</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权重</w:t>
            </w:r>
          </w:p>
        </w:tc>
        <w:tc>
          <w:tcPr>
            <w:tcW w:w="77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得分</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0"/>
                <w:szCs w:val="20"/>
              </w:rPr>
              <w:t>偏差原因分析及改进措施</w:t>
            </w:r>
            <w:r>
              <w:rPr>
                <w:rFonts w:ascii="Times New Roman" w:hAnsi="Times New Roman" w:eastAsia="仿宋_GB2312"/>
                <w:b/>
                <w:bCs/>
                <w:kern w:val="0"/>
                <w:sz w:val="20"/>
                <w:szCs w:val="20"/>
              </w:rPr>
              <w:t>（必填项，可另附说明）</w:t>
            </w:r>
          </w:p>
        </w:tc>
      </w:tr>
      <w:tr>
        <w:tblPrEx>
          <w:tblCellMar>
            <w:top w:w="0" w:type="dxa"/>
            <w:left w:w="108" w:type="dxa"/>
            <w:bottom w:w="0" w:type="dxa"/>
            <w:right w:w="108" w:type="dxa"/>
          </w:tblCellMar>
        </w:tblPrEx>
        <w:trPr>
          <w:trHeight w:val="366"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sz w:val="24"/>
              </w:rPr>
            </w:pPr>
          </w:p>
        </w:tc>
        <w:tc>
          <w:tcPr>
            <w:tcW w:w="107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r>
              <w:rPr>
                <w:rFonts w:ascii="Times New Roman" w:hAnsi="Times New Roman" w:eastAsia="仿宋_GB2312"/>
                <w:kern w:val="0"/>
                <w:szCs w:val="21"/>
              </w:rPr>
              <w:t>产出指标（50分）</w:t>
            </w:r>
          </w:p>
        </w:tc>
        <w:tc>
          <w:tcPr>
            <w:tcW w:w="1215" w:type="dxa"/>
            <w:gridSpan w:val="2"/>
            <w:tcBorders>
              <w:top w:val="single" w:color="000000" w:sz="4" w:space="0"/>
              <w:left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数量指标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宋体"/>
                <w:kern w:val="0"/>
                <w:szCs w:val="21"/>
                <w:lang w:eastAsia="zh-CN"/>
              </w:rPr>
            </w:pPr>
            <w:r>
              <w:rPr>
                <w:rFonts w:hint="eastAsia" w:ascii="Times New Roman" w:hAnsi="Times New Roman"/>
                <w:kern w:val="0"/>
                <w:szCs w:val="21"/>
                <w:lang w:eastAsia="zh-CN"/>
              </w:rPr>
              <w:t>培训</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80</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70</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13</w:t>
            </w:r>
          </w:p>
        </w:tc>
        <w:tc>
          <w:tcPr>
            <w:tcW w:w="77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11</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p>
        </w:tc>
      </w:tr>
      <w:tr>
        <w:tblPrEx>
          <w:tblCellMar>
            <w:top w:w="0" w:type="dxa"/>
            <w:left w:w="108" w:type="dxa"/>
            <w:bottom w:w="0" w:type="dxa"/>
            <w:right w:w="108" w:type="dxa"/>
          </w:tblCellMar>
        </w:tblPrEx>
        <w:trPr>
          <w:trHeight w:val="436"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szCs w:val="21"/>
              </w:rPr>
            </w:pPr>
          </w:p>
        </w:tc>
        <w:tc>
          <w:tcPr>
            <w:tcW w:w="1215" w:type="dxa"/>
            <w:gridSpan w:val="2"/>
            <w:tcBorders>
              <w:top w:val="single" w:color="000000" w:sz="4" w:space="0"/>
              <w:left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时效指标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宋体"/>
                <w:kern w:val="0"/>
                <w:szCs w:val="21"/>
                <w:lang w:eastAsia="zh-CN"/>
              </w:rPr>
            </w:pPr>
            <w:r>
              <w:rPr>
                <w:rFonts w:hint="eastAsia" w:ascii="Times New Roman" w:hAnsi="Times New Roman"/>
                <w:kern w:val="0"/>
                <w:szCs w:val="21"/>
                <w:lang w:eastAsia="zh-CN"/>
              </w:rPr>
              <w:t>完成时间</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 w:val="18"/>
                <w:szCs w:val="18"/>
                <w:lang w:val="en-US" w:eastAsia="zh-CN"/>
              </w:rPr>
            </w:pPr>
            <w:r>
              <w:rPr>
                <w:rFonts w:hint="eastAsia" w:ascii="Times New Roman" w:hAnsi="Times New Roman"/>
                <w:kern w:val="0"/>
                <w:sz w:val="18"/>
                <w:szCs w:val="18"/>
                <w:lang w:val="en-US" w:eastAsia="zh-CN"/>
              </w:rPr>
              <w:t>2020年底</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 w:val="18"/>
                <w:szCs w:val="18"/>
                <w:lang w:val="en-US" w:eastAsia="zh-CN"/>
              </w:rPr>
            </w:pPr>
            <w:r>
              <w:rPr>
                <w:rFonts w:hint="eastAsia" w:ascii="Times New Roman" w:hAnsi="Times New Roman"/>
                <w:kern w:val="0"/>
                <w:sz w:val="18"/>
                <w:szCs w:val="18"/>
                <w:lang w:val="en-US" w:eastAsia="zh-CN"/>
              </w:rPr>
              <w:t>2020年底</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12</w:t>
            </w:r>
          </w:p>
        </w:tc>
        <w:tc>
          <w:tcPr>
            <w:tcW w:w="77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12</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p>
        </w:tc>
        <w:tc>
          <w:tcPr>
            <w:tcW w:w="1215" w:type="dxa"/>
            <w:gridSpan w:val="2"/>
            <w:tcBorders>
              <w:top w:val="single" w:color="000000" w:sz="4" w:space="0"/>
              <w:left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质量指标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宋体"/>
                <w:kern w:val="0"/>
                <w:szCs w:val="21"/>
                <w:lang w:eastAsia="zh-CN"/>
              </w:rPr>
            </w:pPr>
            <w:r>
              <w:rPr>
                <w:rFonts w:hint="eastAsia" w:ascii="Times New Roman" w:hAnsi="Times New Roman"/>
                <w:kern w:val="0"/>
                <w:sz w:val="18"/>
                <w:szCs w:val="18"/>
                <w:lang w:eastAsia="zh-CN"/>
              </w:rPr>
              <w:t>提高种苗从业人员法制意识</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90%</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90%</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c>
          <w:tcPr>
            <w:tcW w:w="77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p>
        </w:tc>
      </w:tr>
      <w:tr>
        <w:tblPrEx>
          <w:tblCellMar>
            <w:top w:w="0" w:type="dxa"/>
            <w:left w:w="108" w:type="dxa"/>
            <w:bottom w:w="0" w:type="dxa"/>
            <w:right w:w="108" w:type="dxa"/>
          </w:tblCellMar>
        </w:tblPrEx>
        <w:trPr>
          <w:trHeight w:val="29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p>
        </w:tc>
        <w:tc>
          <w:tcPr>
            <w:tcW w:w="1215" w:type="dxa"/>
            <w:gridSpan w:val="2"/>
            <w:tcBorders>
              <w:top w:val="single" w:color="000000" w:sz="4" w:space="0"/>
              <w:left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成本指标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eastAsia="宋体" w:cs="Times New Roman"/>
                <w:kern w:val="0"/>
                <w:sz w:val="18"/>
                <w:szCs w:val="18"/>
                <w:lang w:val="en-US" w:eastAsia="zh-CN"/>
              </w:rPr>
              <w:t>各项费用按政策规定执行</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eastAsia="宋体" w:cs="Times New Roman"/>
                <w:kern w:val="0"/>
                <w:sz w:val="18"/>
                <w:szCs w:val="18"/>
                <w:lang w:val="en-US" w:eastAsia="zh-CN"/>
              </w:rPr>
              <w:t>总费用控制在4万内</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eastAsia="宋体" w:cs="Times New Roman"/>
                <w:kern w:val="0"/>
                <w:sz w:val="18"/>
                <w:szCs w:val="18"/>
                <w:lang w:val="en-US" w:eastAsia="zh-CN"/>
              </w:rPr>
              <w:t>实际支出2.02万元</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77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07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r>
              <w:rPr>
                <w:rFonts w:ascii="Times New Roman" w:hAnsi="Times New Roman" w:eastAsia="仿宋_GB2312"/>
                <w:kern w:val="0"/>
                <w:szCs w:val="21"/>
              </w:rPr>
              <w:t>效益指标（30分）</w:t>
            </w:r>
          </w:p>
        </w:tc>
        <w:tc>
          <w:tcPr>
            <w:tcW w:w="1215" w:type="dxa"/>
            <w:gridSpan w:val="2"/>
            <w:tcBorders>
              <w:top w:val="single" w:color="000000" w:sz="4" w:space="0"/>
              <w:left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社会效益指标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规范林木种子生产经营秩序</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Times New Roman" w:hAnsi="Times New Roman" w:eastAsia="宋体" w:cs="Times New Roman"/>
                <w:kern w:val="0"/>
                <w:sz w:val="18"/>
                <w:szCs w:val="18"/>
                <w:lang w:val="en-US" w:eastAsia="zh-CN"/>
              </w:rPr>
              <w:t>规范林木种子生产经营秩序</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Times New Roman" w:hAnsi="Times New Roman" w:eastAsia="宋体" w:cs="Times New Roman"/>
                <w:kern w:val="0"/>
                <w:sz w:val="18"/>
                <w:szCs w:val="18"/>
                <w:lang w:val="en-US" w:eastAsia="zh-CN"/>
              </w:rPr>
              <w:t>规范林木种子生产经营秩序</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77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szCs w:val="21"/>
              </w:rPr>
            </w:pPr>
          </w:p>
        </w:tc>
        <w:tc>
          <w:tcPr>
            <w:tcW w:w="1215" w:type="dxa"/>
            <w:gridSpan w:val="2"/>
            <w:tcBorders>
              <w:top w:val="single" w:color="000000" w:sz="4" w:space="0"/>
              <w:left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生态效益指标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保护生态环境</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保护生态环境</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Times New Roman" w:hAnsi="Times New Roman" w:eastAsia="宋体" w:cs="Times New Roman"/>
                <w:kern w:val="0"/>
                <w:sz w:val="18"/>
                <w:szCs w:val="18"/>
                <w:lang w:val="en-US" w:eastAsia="zh-CN"/>
              </w:rPr>
              <w:t>保护生态环境</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77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p>
        </w:tc>
        <w:tc>
          <w:tcPr>
            <w:tcW w:w="1215" w:type="dxa"/>
            <w:gridSpan w:val="2"/>
            <w:tcBorders>
              <w:top w:val="single" w:color="000000" w:sz="4" w:space="0"/>
              <w:left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可持续影响指标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实现花卉苗木产业健康稳定发展</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实现花卉苗木产业健康稳定发展</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Times New Roman" w:hAnsi="Times New Roman" w:eastAsia="宋体" w:cs="Times New Roman"/>
                <w:kern w:val="0"/>
                <w:sz w:val="18"/>
                <w:szCs w:val="18"/>
                <w:lang w:val="en-US" w:eastAsia="zh-CN"/>
              </w:rPr>
              <w:t>实现花卉苗木产业健康稳定发展</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77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p>
        </w:tc>
      </w:tr>
      <w:tr>
        <w:tblPrEx>
          <w:tblCellMar>
            <w:top w:w="0" w:type="dxa"/>
            <w:left w:w="108" w:type="dxa"/>
            <w:bottom w:w="0" w:type="dxa"/>
            <w:right w:w="108" w:type="dxa"/>
          </w:tblCellMar>
        </w:tblPrEx>
        <w:trPr>
          <w:trHeight w:val="6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07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rPr>
                <w:rFonts w:ascii="Times New Roman" w:hAnsi="Times New Roman" w:eastAsia="仿宋_GB2312"/>
                <w:kern w:val="0"/>
                <w:szCs w:val="21"/>
              </w:rPr>
            </w:pPr>
            <w:r>
              <w:rPr>
                <w:rFonts w:ascii="Times New Roman" w:hAnsi="Times New Roman" w:eastAsia="仿宋_GB2312"/>
                <w:kern w:val="0"/>
                <w:szCs w:val="21"/>
              </w:rPr>
              <w:t>满意度指标（10分）</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eastAsia="zh-CN"/>
              </w:rPr>
              <w:t>服务对象满意度指标</w:t>
            </w:r>
          </w:p>
        </w:tc>
        <w:tc>
          <w:tcPr>
            <w:tcW w:w="1185"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eastAsia="仿宋_GB2312" w:cs="Times New Roman"/>
                <w:kern w:val="0"/>
                <w:szCs w:val="21"/>
                <w:lang w:eastAsia="zh-CN"/>
              </w:rPr>
              <w:t>种苗行政执法群众满意度</w:t>
            </w:r>
            <w:r>
              <w:rPr>
                <w:rFonts w:hint="eastAsia" w:ascii="Times New Roman" w:hAnsi="Times New Roman" w:eastAsia="仿宋_GB2312" w:cs="Times New Roman"/>
                <w:kern w:val="0"/>
                <w:szCs w:val="21"/>
                <w:lang w:val="en-US" w:eastAsia="zh-CN"/>
              </w:rPr>
              <w:t>90%以上</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Times New Roman" w:hAnsi="Times New Roman" w:eastAsia="仿宋_GB2312" w:cs="Times New Roman"/>
                <w:kern w:val="0"/>
                <w:szCs w:val="21"/>
                <w:lang w:eastAsia="zh-CN"/>
              </w:rPr>
              <w:t>种苗行政执法群众满意度</w:t>
            </w:r>
            <w:r>
              <w:rPr>
                <w:rFonts w:hint="eastAsia" w:ascii="Times New Roman" w:hAnsi="Times New Roman" w:eastAsia="仿宋_GB2312" w:cs="Times New Roman"/>
                <w:kern w:val="0"/>
                <w:szCs w:val="21"/>
                <w:lang w:val="en-US" w:eastAsia="zh-CN"/>
              </w:rPr>
              <w:t>90%以上</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Times New Roman" w:hAnsi="Times New Roman" w:eastAsia="仿宋_GB2312" w:cs="Times New Roman"/>
                <w:kern w:val="0"/>
                <w:szCs w:val="21"/>
                <w:lang w:eastAsia="zh-CN"/>
              </w:rPr>
              <w:t>种苗行政执法群众满意度</w:t>
            </w:r>
            <w:r>
              <w:rPr>
                <w:rFonts w:hint="eastAsia" w:ascii="Times New Roman" w:hAnsi="Times New Roman" w:eastAsia="仿宋_GB2312" w:cs="Times New Roman"/>
                <w:kern w:val="0"/>
                <w:szCs w:val="21"/>
                <w:lang w:val="en-US" w:eastAsia="zh-CN"/>
              </w:rPr>
              <w:t>95%以上</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774"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357"/>
              </w:tabs>
              <w:spacing w:line="240" w:lineRule="exact"/>
              <w:jc w:val="center"/>
              <w:rPr>
                <w:rFonts w:ascii="Times New Roman" w:hAnsi="Times New Roman"/>
                <w:kern w:val="0"/>
                <w:szCs w:val="21"/>
              </w:rPr>
            </w:pPr>
            <w:r>
              <w:rPr>
                <w:rFonts w:hint="eastAsia" w:ascii="Times New Roman" w:hAnsi="Times New Roman"/>
                <w:kern w:val="0"/>
                <w:szCs w:val="21"/>
                <w:lang w:val="en-US" w:eastAsia="zh-CN"/>
              </w:rPr>
              <w:t>10</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p>
        </w:tc>
      </w:tr>
      <w:tr>
        <w:tblPrEx>
          <w:tblCellMar>
            <w:top w:w="0" w:type="dxa"/>
            <w:left w:w="108" w:type="dxa"/>
            <w:bottom w:w="0" w:type="dxa"/>
            <w:right w:w="108" w:type="dxa"/>
          </w:tblCellMar>
        </w:tblPrEx>
        <w:trPr>
          <w:trHeight w:val="611" w:hRule="atLeast"/>
          <w:jc w:val="center"/>
        </w:trPr>
        <w:tc>
          <w:tcPr>
            <w:tcW w:w="648" w:type="dxa"/>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07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rPr>
                <w:rFonts w:ascii="Times New Roman" w:hAnsi="Times New Roman" w:eastAsia="仿宋_GB2312"/>
                <w:kern w:val="0"/>
                <w:szCs w:val="21"/>
              </w:rPr>
            </w:pPr>
            <w:r>
              <w:rPr>
                <w:rFonts w:ascii="Times New Roman" w:hAnsi="Times New Roman" w:eastAsia="仿宋_GB2312"/>
                <w:kern w:val="0"/>
                <w:szCs w:val="21"/>
              </w:rPr>
              <w:t>执行率指标（10分）</w:t>
            </w:r>
          </w:p>
        </w:tc>
        <w:tc>
          <w:tcPr>
            <w:tcW w:w="4665"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ascii="Times New Roman" w:hAnsi="Times New Roman" w:eastAsia="仿宋_GB2312"/>
                <w:kern w:val="0"/>
                <w:szCs w:val="21"/>
              </w:rPr>
            </w:pPr>
            <w:r>
              <w:rPr>
                <w:rFonts w:ascii="Times New Roman" w:hAnsi="Times New Roman" w:eastAsia="仿宋_GB2312"/>
                <w:kern w:val="0"/>
                <w:szCs w:val="21"/>
              </w:rPr>
              <w:t>资金执行率：</w:t>
            </w:r>
          </w:p>
          <w:p>
            <w:pPr>
              <w:widowControl/>
              <w:spacing w:line="240" w:lineRule="exact"/>
              <w:jc w:val="center"/>
              <w:rPr>
                <w:rFonts w:ascii="Times New Roman" w:hAnsi="Times New Roman"/>
                <w:kern w:val="0"/>
                <w:szCs w:val="21"/>
              </w:rPr>
            </w:pPr>
            <w:r>
              <w:rPr>
                <w:rFonts w:ascii="Times New Roman" w:hAnsi="Times New Roman" w:eastAsia="仿宋_GB2312"/>
                <w:kern w:val="0"/>
                <w:szCs w:val="21"/>
              </w:rPr>
              <w:t>（计算方式：执行率自评得分</w:t>
            </w:r>
            <w:r>
              <w:rPr>
                <w:rFonts w:ascii="Times New Roman" w:hAnsi="Times New Roman" w:eastAsia="仿宋_GB2312"/>
                <w:kern w:val="0"/>
                <w:sz w:val="22"/>
                <w:szCs w:val="22"/>
              </w:rPr>
              <w:t>=</w:t>
            </w:r>
            <w:r>
              <w:rPr>
                <w:rFonts w:ascii="Times New Roman" w:hAnsi="Times New Roman" w:eastAsia="仿宋_GB2312"/>
                <w:kern w:val="0"/>
                <w:szCs w:val="21"/>
              </w:rPr>
              <w:t>资金执行率</w:t>
            </w:r>
            <w:r>
              <w:rPr>
                <w:rFonts w:ascii="Times New Roman" w:hAnsi="Times New Roman" w:eastAsia="仿宋_GB2312"/>
                <w:kern w:val="0"/>
                <w:sz w:val="22"/>
                <w:szCs w:val="22"/>
              </w:rPr>
              <w:t>*</w:t>
            </w:r>
            <w:r>
              <w:rPr>
                <w:rFonts w:ascii="Times New Roman" w:hAnsi="Times New Roman" w:eastAsia="仿宋_GB2312"/>
                <w:kern w:val="0"/>
                <w:szCs w:val="21"/>
              </w:rPr>
              <w:t>10）</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10</w:t>
            </w:r>
          </w:p>
        </w:tc>
        <w:tc>
          <w:tcPr>
            <w:tcW w:w="774"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357"/>
              </w:tabs>
              <w:spacing w:line="240" w:lineRule="exact"/>
              <w:jc w:val="center"/>
              <w:rPr>
                <w:rFonts w:hint="default" w:ascii="Times New Roman" w:hAnsi="Times New Roman"/>
                <w:kern w:val="0"/>
                <w:szCs w:val="21"/>
                <w:lang w:val="en"/>
              </w:rPr>
            </w:pPr>
            <w:r>
              <w:rPr>
                <w:rFonts w:hint="default" w:ascii="Times New Roman" w:hAnsi="Times New Roman"/>
                <w:kern w:val="0"/>
                <w:szCs w:val="21"/>
                <w:lang w:val="en"/>
              </w:rPr>
              <w:t>5.05</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p>
        </w:tc>
      </w:tr>
      <w:tr>
        <w:tblPrEx>
          <w:tblCellMar>
            <w:top w:w="0" w:type="dxa"/>
            <w:left w:w="108" w:type="dxa"/>
            <w:bottom w:w="0" w:type="dxa"/>
            <w:right w:w="108" w:type="dxa"/>
          </w:tblCellMar>
        </w:tblPrEx>
        <w:trPr>
          <w:trHeight w:val="431" w:hRule="atLeast"/>
          <w:jc w:val="center"/>
        </w:trPr>
        <w:tc>
          <w:tcPr>
            <w:tcW w:w="648" w:type="dxa"/>
            <w:tcBorders>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5737" w:type="dxa"/>
            <w:gridSpan w:val="9"/>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总分</w:t>
            </w:r>
          </w:p>
        </w:tc>
        <w:tc>
          <w:tcPr>
            <w:tcW w:w="702"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100</w:t>
            </w:r>
          </w:p>
        </w:tc>
        <w:tc>
          <w:tcPr>
            <w:tcW w:w="774" w:type="dxa"/>
            <w:gridSpan w:val="2"/>
            <w:tcBorders>
              <w:top w:val="single" w:color="000000" w:sz="4" w:space="0"/>
              <w:left w:val="single" w:color="000000" w:sz="4" w:space="0"/>
              <w:bottom w:val="single" w:color="auto" w:sz="4" w:space="0"/>
              <w:right w:val="single" w:color="000000" w:sz="4" w:space="0"/>
            </w:tcBorders>
            <w:vAlign w:val="center"/>
          </w:tcPr>
          <w:p>
            <w:pPr>
              <w:widowControl/>
              <w:tabs>
                <w:tab w:val="left" w:pos="357"/>
              </w:tabs>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 w:val="18"/>
                <w:szCs w:val="18"/>
                <w:lang w:val="en-US" w:eastAsia="zh-CN"/>
              </w:rPr>
              <w:t>93.05</w:t>
            </w:r>
          </w:p>
        </w:tc>
        <w:tc>
          <w:tcPr>
            <w:tcW w:w="1719"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kern w:val="0"/>
                <w:szCs w:val="21"/>
              </w:rPr>
            </w:pPr>
          </w:p>
        </w:tc>
      </w:tr>
      <w:tr>
        <w:tblPrEx>
          <w:tblCellMar>
            <w:top w:w="0" w:type="dxa"/>
            <w:left w:w="108" w:type="dxa"/>
            <w:bottom w:w="0" w:type="dxa"/>
            <w:right w:w="108" w:type="dxa"/>
          </w:tblCellMar>
        </w:tblPrEx>
        <w:trPr>
          <w:trHeight w:val="623" w:hRule="atLeast"/>
          <w:jc w:val="center"/>
        </w:trPr>
        <w:tc>
          <w:tcPr>
            <w:tcW w:w="1767"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kern w:val="0"/>
                <w:szCs w:val="21"/>
              </w:rPr>
            </w:pPr>
            <w:r>
              <w:rPr>
                <w:rFonts w:ascii="Times New Roman" w:hAnsi="Times New Roman" w:eastAsia="仿宋_GB2312"/>
                <w:bCs/>
                <w:kern w:val="0"/>
                <w:sz w:val="24"/>
              </w:rPr>
              <w:t>评价结果</w:t>
            </w:r>
          </w:p>
        </w:tc>
        <w:tc>
          <w:tcPr>
            <w:tcW w:w="5320"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Times New Roman" w:hAnsi="Times New Roman"/>
                <w:kern w:val="0"/>
                <w:szCs w:val="21"/>
              </w:rPr>
            </w:pPr>
            <w:r>
              <w:rPr>
                <w:rFonts w:ascii="Times New Roman" w:hAnsi="Times New Roman" w:eastAsia="仿宋_GB2312"/>
                <w:sz w:val="24"/>
              </w:rPr>
              <w:t>优：90分≤得分≤100分；良：80分≤得分&lt;90分；中：60分≤得分&lt;80分；差：得分&lt;60分</w:t>
            </w:r>
          </w:p>
        </w:tc>
        <w:tc>
          <w:tcPr>
            <w:tcW w:w="774" w:type="dxa"/>
            <w:gridSpan w:val="2"/>
            <w:tcBorders>
              <w:top w:val="single" w:color="auto" w:sz="4" w:space="0"/>
              <w:left w:val="single" w:color="000000" w:sz="4" w:space="0"/>
              <w:bottom w:val="single" w:color="auto" w:sz="4" w:space="0"/>
              <w:right w:val="single" w:color="000000" w:sz="4" w:space="0"/>
            </w:tcBorders>
            <w:vAlign w:val="center"/>
          </w:tcPr>
          <w:p>
            <w:pPr>
              <w:widowControl/>
              <w:tabs>
                <w:tab w:val="left" w:pos="357"/>
              </w:tabs>
              <w:spacing w:line="240" w:lineRule="exact"/>
              <w:jc w:val="center"/>
              <w:rPr>
                <w:rFonts w:hint="eastAsia" w:ascii="Times New Roman" w:hAnsi="Times New Roman" w:eastAsia="宋体"/>
                <w:kern w:val="0"/>
                <w:szCs w:val="21"/>
                <w:lang w:eastAsia="zh-CN"/>
              </w:rPr>
            </w:pPr>
            <w:r>
              <w:rPr>
                <w:rFonts w:hint="eastAsia" w:ascii="Times New Roman" w:hAnsi="Times New Roman"/>
                <w:kern w:val="0"/>
                <w:szCs w:val="21"/>
                <w:lang w:eastAsia="zh-CN"/>
              </w:rPr>
              <w:t>优</w:t>
            </w:r>
          </w:p>
        </w:tc>
        <w:tc>
          <w:tcPr>
            <w:tcW w:w="1719" w:type="dxa"/>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rPr>
                <w:rFonts w:ascii="Times New Roman" w:hAnsi="Times New Roman"/>
                <w:kern w:val="0"/>
                <w:szCs w:val="21"/>
              </w:rPr>
            </w:pPr>
            <w:r>
              <w:rPr>
                <w:rFonts w:ascii="Times New Roman" w:hAnsi="Times New Roman"/>
                <w:bCs/>
                <w:kern w:val="0"/>
                <w:sz w:val="24"/>
              </w:rPr>
              <w:t>-</w:t>
            </w:r>
          </w:p>
        </w:tc>
      </w:tr>
    </w:tbl>
    <w:p>
      <w:pPr>
        <w:spacing w:beforeLines="0" w:afterLines="0" w:line="324" w:lineRule="auto"/>
        <w:ind w:firstLine="640" w:firstLineChars="200"/>
        <w:rPr>
          <w:rFonts w:hint="eastAsia" w:ascii="仿宋" w:hAnsi="仿宋" w:eastAsia="仿宋"/>
          <w:color w:val="000000"/>
          <w:sz w:val="32"/>
          <w:highlight w:val="white"/>
          <w:lang w:val="en-US" w:eastAsia="zh-CN"/>
        </w:rPr>
      </w:pPr>
    </w:p>
    <w:p>
      <w:pPr>
        <w:numPr>
          <w:ilvl w:val="0"/>
          <w:numId w:val="3"/>
        </w:num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财政评价项目绩效评价结果。</w:t>
      </w:r>
    </w:p>
    <w:p>
      <w:pPr>
        <w:spacing w:beforeLines="0" w:afterLines="0" w:line="324" w:lineRule="auto"/>
        <w:ind w:firstLine="594"/>
        <w:rPr>
          <w:rFonts w:hint="eastAsia" w:ascii="仿宋" w:hAnsi="仿宋" w:eastAsia="仿宋"/>
          <w:color w:val="000000"/>
          <w:sz w:val="32"/>
          <w:highlight w:val="white"/>
          <w:lang w:val="en-US" w:eastAsia="zh-CN"/>
        </w:rPr>
      </w:pP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财政评价项目绩效评价</w:t>
      </w:r>
    </w:p>
    <w:p>
      <w:pPr>
        <w:numPr>
          <w:ilvl w:val="0"/>
          <w:numId w:val="3"/>
        </w:numPr>
        <w:spacing w:beforeLines="0" w:afterLines="0" w:line="324" w:lineRule="auto"/>
        <w:ind w:firstLine="594" w:firstLineChars="0"/>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部门评价项目绩效评价结果。</w:t>
      </w:r>
    </w:p>
    <w:p>
      <w:pPr>
        <w:spacing w:beforeLines="0" w:afterLines="0" w:line="324" w:lineRule="auto"/>
        <w:ind w:firstLine="594"/>
        <w:rPr>
          <w:rFonts w:hint="eastAsia" w:ascii="仿宋" w:hAnsi="仿宋" w:eastAsia="仿宋"/>
          <w:color w:val="000000"/>
          <w:sz w:val="32"/>
          <w:highlight w:val="white"/>
          <w:lang w:val="en-US" w:eastAsia="zh-CN"/>
        </w:rPr>
      </w:pPr>
      <w:r>
        <w:rPr>
          <w:rFonts w:hint="eastAsia" w:ascii="仿宋" w:hAnsi="仿宋" w:eastAsia="仿宋"/>
          <w:color w:val="000000"/>
          <w:sz w:val="32"/>
          <w:highlight w:val="white"/>
          <w:lang w:val="en-US" w:eastAsia="zh-CN"/>
        </w:rPr>
        <w:t>无部门</w:t>
      </w:r>
      <w:r>
        <w:rPr>
          <w:rFonts w:hint="eastAsia" w:ascii="仿宋" w:hAnsi="仿宋" w:eastAsia="仿宋"/>
          <w:color w:val="000000"/>
          <w:sz w:val="32"/>
          <w:highlight w:val="white"/>
          <w:lang w:val="en-US"/>
        </w:rPr>
        <w:t>评价项目绩效评价</w:t>
      </w:r>
    </w:p>
    <w:p>
      <w:pPr>
        <w:spacing w:beforeLines="0" w:afterLines="0" w:line="324" w:lineRule="auto"/>
        <w:ind w:firstLine="642" w:firstLineChars="200"/>
        <w:rPr>
          <w:rFonts w:hint="default" w:ascii="Times New Roman" w:hAnsi="Times New Roman" w:eastAsia="Times New Roman"/>
          <w:b/>
          <w:color w:val="000000"/>
          <w:sz w:val="32"/>
          <w:highlight w:val="white"/>
          <w:lang w:val="en-US"/>
        </w:rPr>
      </w:pPr>
      <w:r>
        <w:rPr>
          <w:rFonts w:hint="eastAsia" w:ascii="黑体" w:hAnsi="黑体" w:eastAsia="黑体"/>
          <w:b/>
          <w:color w:val="000000"/>
          <w:sz w:val="32"/>
          <w:highlight w:val="white"/>
          <w:lang w:val="en-US"/>
        </w:rPr>
        <w:t>四、名词解释</w:t>
      </w:r>
    </w:p>
    <w:p>
      <w:pPr>
        <w:spacing w:beforeLines="0" w:afterLines="0" w:line="324" w:lineRule="auto"/>
        <w:ind w:firstLine="594"/>
        <w:rPr>
          <w:rFonts w:hint="eastAsia" w:ascii="仿宋" w:hAnsi="仿宋" w:eastAsia="仿宋"/>
          <w:color w:val="000000"/>
          <w:sz w:val="32"/>
          <w:highlight w:val="white"/>
          <w:lang w:val="zh-CN"/>
        </w:rPr>
      </w:pPr>
      <w:r>
        <w:rPr>
          <w:rFonts w:hint="eastAsia" w:ascii="仿宋" w:hAnsi="仿宋" w:eastAsia="仿宋"/>
          <w:color w:val="000000"/>
          <w:sz w:val="32"/>
          <w:highlight w:val="white"/>
          <w:lang w:val="zh-CN"/>
        </w:rPr>
        <w:t>1.财政拨款收入：指本级财政部门当年拨付的财政预算资金，包括一般公共预算财政拨款、政府性基金预算财政拨款和国有资本经预算财政拨款。</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eastAsia="zh-CN"/>
        </w:rPr>
        <w:t>2</w:t>
      </w:r>
      <w:r>
        <w:rPr>
          <w:rFonts w:hint="eastAsia" w:ascii="仿宋" w:hAnsi="仿宋" w:eastAsia="仿宋"/>
          <w:color w:val="000000"/>
          <w:sz w:val="32"/>
          <w:highlight w:val="white"/>
          <w:lang w:val="en-US"/>
        </w:rPr>
        <w:t>.基本支出：指预算单位为保障其正常运转，完成日常工作任务所发生的支出，包括人员经费支出和日常公用经费支出。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eastAsia="zh-CN"/>
        </w:rPr>
        <w:t>3</w:t>
      </w:r>
      <w:r>
        <w:rPr>
          <w:rFonts w:hint="eastAsia" w:ascii="仿宋" w:hAnsi="仿宋" w:eastAsia="仿宋"/>
          <w:color w:val="000000"/>
          <w:sz w:val="32"/>
          <w:highlight w:val="white"/>
          <w:lang w:val="en-US"/>
        </w:rPr>
        <w:t>.项目支出：指预算单位为完成其特定的行政工作任务或事业发展目标所发生的支出。</w:t>
      </w:r>
    </w:p>
    <w:p>
      <w:pPr>
        <w:spacing w:beforeLines="0" w:afterLines="0" w:line="324" w:lineRule="auto"/>
        <w:ind w:firstLine="640" w:firstLineChars="20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eastAsia="zh-CN"/>
        </w:rPr>
        <w:t>4</w:t>
      </w:r>
      <w:r>
        <w:rPr>
          <w:rFonts w:hint="eastAsia" w:ascii="仿宋" w:hAnsi="仿宋" w:eastAsia="仿宋"/>
          <w:color w:val="000000"/>
          <w:sz w:val="32"/>
          <w:highlight w:val="white"/>
          <w:lang w:val="en-US"/>
        </w:rPr>
        <w:t>.</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经费：纳入财政预决算管理的</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eastAsia="zh-CN"/>
        </w:rPr>
        <w:t>5</w:t>
      </w:r>
      <w:r>
        <w:rPr>
          <w:rFonts w:hint="eastAsia" w:ascii="仿宋" w:hAnsi="仿宋" w:eastAsia="仿宋"/>
          <w:color w:val="000000"/>
          <w:sz w:val="32"/>
          <w:highlight w:val="white"/>
          <w:lang w:val="en-US"/>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教育支出（类）进修及培训（款）培训支出（项）：指各部门安排的用于培训的支出。教育部门的师资培训，党校、行政学院等专业干部教育机构的支出，以及退役士兵、转业士官的培训支出，不在本科目反映。</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val="en-US" w:eastAsia="zh-CN"/>
        </w:rPr>
        <w:t>7</w:t>
      </w:r>
      <w:r>
        <w:rPr>
          <w:rFonts w:hint="eastAsia" w:ascii="Times New Roman" w:hAnsi="Times New Roman" w:eastAsia="仿宋_GB2312" w:cs="Times New Roman"/>
          <w:bCs/>
          <w:color w:val="000000"/>
          <w:sz w:val="32"/>
          <w:szCs w:val="32"/>
        </w:rPr>
        <w:t>．社会保障和就业支出（类）行政事业单位养老支出（款）行政单位离退休（项）：指行政单位（包括实行公务员管理的事业单位）开支的离退休经费。</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val="en-US" w:eastAsia="zh-CN"/>
        </w:rPr>
        <w:t>8</w:t>
      </w:r>
      <w:r>
        <w:rPr>
          <w:rFonts w:hint="eastAsia" w:ascii="Times New Roman" w:hAnsi="Times New Roman" w:eastAsia="仿宋_GB2312" w:cs="Times New Roman"/>
          <w:bCs/>
          <w:color w:val="000000"/>
          <w:sz w:val="32"/>
          <w:szCs w:val="32"/>
        </w:rPr>
        <w:t>．社会保障和就业支出（类）行政事业单位养老支出（款）机关事业单位基本养老保险缴费支出（项）：指机关事业单位实施养老保险制度由单位缴纳的基本养老保险支出。</w:t>
      </w:r>
    </w:p>
    <w:p>
      <w:pPr>
        <w:ind w:firstLine="640" w:firstLineChars="200"/>
      </w:pPr>
      <w:r>
        <w:rPr>
          <w:rFonts w:hint="eastAsia" w:ascii="Times New Roman" w:hAnsi="Times New Roman" w:eastAsia="仿宋_GB2312" w:cs="Times New Roman"/>
          <w:bCs/>
          <w:color w:val="000000"/>
          <w:sz w:val="32"/>
          <w:szCs w:val="32"/>
          <w:lang w:val="en-US" w:eastAsia="zh-CN"/>
        </w:rPr>
        <w:t>9</w:t>
      </w:r>
      <w:r>
        <w:rPr>
          <w:rFonts w:hint="eastAsia" w:ascii="Times New Roman" w:hAnsi="Times New Roman" w:eastAsia="仿宋_GB2312" w:cs="Times New Roman"/>
          <w:bCs/>
          <w:color w:val="000000"/>
          <w:sz w:val="32"/>
          <w:szCs w:val="32"/>
        </w:rPr>
        <w:t>．社会保障和就业支出（类）行政事业单位养老支出（款）机关事业单位职业年金缴费支出（项）：指机关事业单位实施养老保险制度由单位缴纳的职业年金支出。</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val="en-US" w:eastAsia="zh-CN"/>
        </w:rPr>
        <w:t>10</w:t>
      </w:r>
      <w:r>
        <w:rPr>
          <w:rFonts w:hint="eastAsia" w:ascii="Times New Roman" w:hAnsi="Times New Roman" w:eastAsia="仿宋_GB2312" w:cs="Times New Roman"/>
          <w:bCs/>
          <w:color w:val="000000"/>
          <w:sz w:val="32"/>
          <w:szCs w:val="32"/>
        </w:rPr>
        <w:t>．卫生健康支出（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lang w:val="en-US" w:eastAsia="zh-CN"/>
        </w:rPr>
        <w:t>1</w:t>
      </w:r>
      <w:r>
        <w:rPr>
          <w:rFonts w:hint="eastAsia" w:ascii="Times New Roman" w:hAnsi="Times New Roman" w:eastAsia="仿宋_GB2312" w:cs="Times New Roman"/>
          <w:bCs/>
          <w:color w:val="000000"/>
          <w:sz w:val="32"/>
          <w:szCs w:val="32"/>
        </w:rPr>
        <w:t>．农林水支出（类）林业和草原（款）行政运行（林业）（项）：指行政单位（包括实行公务员管理的事业单位）的基本支出。</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lang w:val="en-US" w:eastAsia="zh-CN"/>
        </w:rPr>
        <w:t>2</w:t>
      </w:r>
      <w:r>
        <w:rPr>
          <w:rFonts w:hint="eastAsia" w:ascii="Times New Roman" w:hAnsi="Times New Roman" w:eastAsia="仿宋_GB2312" w:cs="Times New Roman"/>
          <w:bCs/>
          <w:color w:val="000000"/>
          <w:sz w:val="32"/>
          <w:szCs w:val="32"/>
        </w:rPr>
        <w:t>．农林水支出（类）林业和草原（款）执法与监督（项）指执法与监督队伍建设，刑事、行政案件受理、查处和督办，行政许可、复议与诉讼管理等方面的支出。</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lang w:val="en-US" w:eastAsia="zh-CN"/>
        </w:rPr>
        <w:t>3</w:t>
      </w:r>
      <w:r>
        <w:rPr>
          <w:rFonts w:hint="eastAsia" w:ascii="Times New Roman" w:hAnsi="Times New Roman" w:eastAsia="仿宋_GB2312" w:cs="Times New Roman"/>
          <w:bCs/>
          <w:color w:val="000000"/>
          <w:sz w:val="32"/>
          <w:szCs w:val="32"/>
        </w:rPr>
        <w:t>．住房保障支出（类）住房改革支出（款）住房公积金（项）：指行政事业单位按人力资源和社会保障部、财政部规定的基本工资和津贴补贴以及规定比例为职工缴纳的住房公积金。</w:t>
      </w:r>
    </w:p>
    <w:p>
      <w:pPr>
        <w:spacing w:line="530" w:lineRule="exact"/>
        <w:rPr>
          <w:rFonts w:ascii="Times New Roman" w:hAnsi="Times New Roman" w:eastAsia="仿宋_GB2312" w:cs="Times New Roman"/>
          <w:bCs/>
          <w:color w:val="000000"/>
          <w:sz w:val="32"/>
          <w:szCs w:val="32"/>
        </w:rPr>
      </w:pPr>
    </w:p>
    <w:p>
      <w:pPr>
        <w:spacing w:line="530" w:lineRule="exact"/>
        <w:rPr>
          <w:rFonts w:ascii="Times New Roman" w:hAnsi="Times New Roman" w:eastAsia="仿宋_GB2312" w:cs="Times New Roman"/>
          <w:bCs/>
          <w:color w:val="000000"/>
          <w:sz w:val="32"/>
          <w:szCs w:val="32"/>
        </w:rPr>
      </w:pPr>
    </w:p>
    <w:p>
      <w:pPr>
        <w:wordWrap w:val="0"/>
        <w:spacing w:line="530" w:lineRule="exact"/>
        <w:ind w:firstLine="5120" w:firstLineChars="16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金华市林业种苗管理站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2021年</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 xml:space="preserve">日       </w:t>
      </w:r>
    </w:p>
    <w:p>
      <w:pPr>
        <w:spacing w:line="530" w:lineRule="exact"/>
        <w:rPr>
          <w:rFonts w:ascii="Times New Roman" w:hAnsi="Times New Roman" w:cs="Times New Roman"/>
        </w:rPr>
      </w:pPr>
    </w:p>
    <w:p/>
    <w:sectPr>
      <w:footerReference r:id="rId5" w:type="default"/>
      <w:pgSz w:w="12240" w:h="15840"/>
      <w:pgMar w:top="1440" w:right="1800" w:bottom="1440" w:left="1800" w:header="720" w:footer="720" w:gutter="0"/>
      <w:lnNumType w:countBy="0" w:distance="36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23222"/>
    <w:multiLevelType w:val="singleLevel"/>
    <w:tmpl w:val="FFF23222"/>
    <w:lvl w:ilvl="0" w:tentative="0">
      <w:start w:val="2"/>
      <w:numFmt w:val="decimal"/>
      <w:suff w:val="space"/>
      <w:lvlText w:val="%1."/>
      <w:lvlJc w:val="left"/>
    </w:lvl>
  </w:abstractNum>
  <w:abstractNum w:abstractNumId="1">
    <w:nsid w:val="614AE8C4"/>
    <w:multiLevelType w:val="singleLevel"/>
    <w:tmpl w:val="614AE8C4"/>
    <w:lvl w:ilvl="0" w:tentative="0">
      <w:start w:val="7"/>
      <w:numFmt w:val="chineseCounting"/>
      <w:suff w:val="nothing"/>
      <w:lvlText w:val="（%1）"/>
      <w:lvlJc w:val="left"/>
    </w:lvl>
  </w:abstractNum>
  <w:abstractNum w:abstractNumId="2">
    <w:nsid w:val="614AEEDD"/>
    <w:multiLevelType w:val="singleLevel"/>
    <w:tmpl w:val="614AEEDD"/>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708"/>
    <w:rsid w:val="014F2343"/>
    <w:rsid w:val="03600544"/>
    <w:rsid w:val="05DC49D9"/>
    <w:rsid w:val="05F511B8"/>
    <w:rsid w:val="06CF2F80"/>
    <w:rsid w:val="0C8D27F4"/>
    <w:rsid w:val="0D066AFA"/>
    <w:rsid w:val="0DBF55F9"/>
    <w:rsid w:val="0EB36F5A"/>
    <w:rsid w:val="10633EB2"/>
    <w:rsid w:val="10E23817"/>
    <w:rsid w:val="16931192"/>
    <w:rsid w:val="17D9BE69"/>
    <w:rsid w:val="1A8A5883"/>
    <w:rsid w:val="1AAB0435"/>
    <w:rsid w:val="1B332A12"/>
    <w:rsid w:val="1E1F6EFA"/>
    <w:rsid w:val="211D11E6"/>
    <w:rsid w:val="22341882"/>
    <w:rsid w:val="22DD068F"/>
    <w:rsid w:val="23FA2053"/>
    <w:rsid w:val="24431899"/>
    <w:rsid w:val="264A01BB"/>
    <w:rsid w:val="26C82B31"/>
    <w:rsid w:val="27FC09BB"/>
    <w:rsid w:val="2D927F28"/>
    <w:rsid w:val="2EA46CC4"/>
    <w:rsid w:val="2EC35587"/>
    <w:rsid w:val="2FF65194"/>
    <w:rsid w:val="375B79ED"/>
    <w:rsid w:val="39EA7A04"/>
    <w:rsid w:val="3D8656F0"/>
    <w:rsid w:val="3E744C27"/>
    <w:rsid w:val="4008709D"/>
    <w:rsid w:val="43391463"/>
    <w:rsid w:val="44565F3D"/>
    <w:rsid w:val="45C7256D"/>
    <w:rsid w:val="49FB5C81"/>
    <w:rsid w:val="4A442AAF"/>
    <w:rsid w:val="4ADB1604"/>
    <w:rsid w:val="4B45410D"/>
    <w:rsid w:val="4CC4667A"/>
    <w:rsid w:val="4F3B7751"/>
    <w:rsid w:val="50407D79"/>
    <w:rsid w:val="51CE18D5"/>
    <w:rsid w:val="553B18C0"/>
    <w:rsid w:val="556772BC"/>
    <w:rsid w:val="55E162D6"/>
    <w:rsid w:val="568B7359"/>
    <w:rsid w:val="589E0E9C"/>
    <w:rsid w:val="59AB715F"/>
    <w:rsid w:val="59CD0D33"/>
    <w:rsid w:val="5CF674FE"/>
    <w:rsid w:val="64604283"/>
    <w:rsid w:val="66757F01"/>
    <w:rsid w:val="66EF8C43"/>
    <w:rsid w:val="678C0BAC"/>
    <w:rsid w:val="686E71F7"/>
    <w:rsid w:val="6B25577E"/>
    <w:rsid w:val="6C155C50"/>
    <w:rsid w:val="6E052CEF"/>
    <w:rsid w:val="763615E7"/>
    <w:rsid w:val="7B9F636D"/>
    <w:rsid w:val="7BDC251F"/>
    <w:rsid w:val="7D864D49"/>
    <w:rsid w:val="7EB00E18"/>
    <w:rsid w:val="7EBFCC3C"/>
    <w:rsid w:val="AFCE48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qFormat/>
    <w:uiPriority w:val="0"/>
    <w:pPr>
      <w:widowControl/>
    </w:pPr>
    <w:rPr>
      <w:rFonts w:hint="default"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市国土资源局</Company>
  <Pages>1</Pages>
  <Words>0</Words>
  <Characters>0</Characters>
  <Lines>0</Lines>
  <Paragraphs>0</Paragraphs>
  <TotalTime>13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2021-09-16T23:55:00Z</dcterms:created>
  <dc:creator>lenooo</dc:creator>
  <cp:lastModifiedBy>uos</cp:lastModifiedBy>
  <dcterms:modified xsi:type="dcterms:W3CDTF">2021-09-23T16:27:06Z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