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2773" w:type="dxa"/>
        <w:tblInd w:w="0" w:type="dxa"/>
        <w:tblLayout w:type="fixed"/>
        <w:tblCellMar>
          <w:top w:w="15" w:type="dxa"/>
          <w:left w:w="15" w:type="dxa"/>
          <w:bottom w:w="15" w:type="dxa"/>
          <w:right w:w="15" w:type="dxa"/>
        </w:tblCellMar>
      </w:tblPr>
      <w:tblGrid>
        <w:gridCol w:w="582"/>
        <w:gridCol w:w="849"/>
        <w:gridCol w:w="910"/>
        <w:gridCol w:w="1076"/>
        <w:gridCol w:w="2552"/>
        <w:gridCol w:w="850"/>
        <w:gridCol w:w="993"/>
        <w:gridCol w:w="850"/>
        <w:gridCol w:w="1134"/>
        <w:gridCol w:w="1477"/>
        <w:gridCol w:w="1500"/>
      </w:tblGrid>
      <w:tr>
        <w:tblPrEx>
          <w:tblLayout w:type="fixed"/>
          <w:tblCellMar>
            <w:top w:w="15" w:type="dxa"/>
            <w:left w:w="15" w:type="dxa"/>
            <w:bottom w:w="15" w:type="dxa"/>
            <w:right w:w="15" w:type="dxa"/>
          </w:tblCellMar>
        </w:tblPrEx>
        <w:trPr>
          <w:trHeight w:val="645" w:hRule="atLeast"/>
        </w:trPr>
        <w:tc>
          <w:tcPr>
            <w:tcW w:w="1431" w:type="dxa"/>
            <w:gridSpan w:val="2"/>
          </w:tcPr>
          <w:p>
            <w:pPr>
              <w:widowControl/>
              <w:jc w:val="center"/>
              <w:textAlignment w:val="center"/>
              <w:rPr>
                <w:rFonts w:ascii="方正小标宋简体" w:hAnsi="宋体" w:eastAsia="方正小标宋简体" w:cs="宋体"/>
                <w:color w:val="000000"/>
                <w:kern w:val="0"/>
                <w:sz w:val="36"/>
                <w:szCs w:val="36"/>
              </w:rPr>
            </w:pPr>
            <w:bookmarkStart w:id="0" w:name="_GoBack"/>
          </w:p>
        </w:tc>
        <w:tc>
          <w:tcPr>
            <w:tcW w:w="910" w:type="dxa"/>
          </w:tcPr>
          <w:p>
            <w:pPr>
              <w:widowControl/>
              <w:jc w:val="center"/>
              <w:textAlignment w:val="center"/>
              <w:rPr>
                <w:rFonts w:ascii="方正小标宋简体" w:hAnsi="宋体" w:eastAsia="方正小标宋简体" w:cs="宋体"/>
                <w:color w:val="000000"/>
                <w:kern w:val="0"/>
                <w:sz w:val="36"/>
                <w:szCs w:val="36"/>
              </w:rPr>
            </w:pPr>
          </w:p>
        </w:tc>
        <w:tc>
          <w:tcPr>
            <w:tcW w:w="10432" w:type="dxa"/>
            <w:gridSpan w:val="8"/>
            <w:vAlign w:val="center"/>
          </w:tcPr>
          <w:p>
            <w:pPr>
              <w:widowControl/>
              <w:jc w:val="center"/>
              <w:textAlignment w:val="center"/>
              <w:rPr>
                <w:rFonts w:ascii="方正小标宋简体" w:hAnsi="宋体" w:eastAsia="方正小标宋简体" w:cs="宋体"/>
                <w:color w:val="000000"/>
                <w:sz w:val="36"/>
                <w:szCs w:val="36"/>
              </w:rPr>
            </w:pPr>
            <w:r>
              <w:rPr>
                <w:rFonts w:hint="eastAsia" w:ascii="方正小标宋简体" w:hAnsi="宋体" w:eastAsia="方正小标宋简体" w:cs="宋体"/>
                <w:color w:val="000000"/>
                <w:kern w:val="0"/>
                <w:sz w:val="36"/>
                <w:szCs w:val="36"/>
              </w:rPr>
              <w:t>存量住宅用地信息表</w:t>
            </w:r>
          </w:p>
        </w:tc>
      </w:tr>
      <w:tr>
        <w:tblPrEx>
          <w:tblLayout w:type="fixed"/>
          <w:tblCellMar>
            <w:top w:w="15" w:type="dxa"/>
            <w:left w:w="15" w:type="dxa"/>
            <w:bottom w:w="15" w:type="dxa"/>
            <w:right w:w="15" w:type="dxa"/>
          </w:tblCellMar>
        </w:tblPrEx>
        <w:trPr>
          <w:trHeight w:val="654" w:hRule="atLeast"/>
        </w:trPr>
        <w:tc>
          <w:tcPr>
            <w:tcW w:w="1431" w:type="dxa"/>
            <w:gridSpan w:val="2"/>
          </w:tcPr>
          <w:p>
            <w:pPr>
              <w:widowControl/>
              <w:jc w:val="center"/>
              <w:textAlignment w:val="center"/>
              <w:rPr>
                <w:rFonts w:ascii="方正小标宋简体" w:hAnsi="宋体" w:eastAsia="方正小标宋简体" w:cs="宋体"/>
                <w:color w:val="000000"/>
                <w:kern w:val="0"/>
                <w:sz w:val="36"/>
                <w:szCs w:val="36"/>
              </w:rPr>
            </w:pPr>
          </w:p>
        </w:tc>
        <w:tc>
          <w:tcPr>
            <w:tcW w:w="910" w:type="dxa"/>
          </w:tcPr>
          <w:p>
            <w:pPr>
              <w:widowControl/>
              <w:jc w:val="center"/>
              <w:textAlignment w:val="center"/>
              <w:rPr>
                <w:rFonts w:ascii="方正小标宋简体" w:hAnsi="宋体" w:eastAsia="方正小标宋简体" w:cs="宋体"/>
                <w:color w:val="000000"/>
                <w:kern w:val="0"/>
                <w:sz w:val="36"/>
                <w:szCs w:val="36"/>
              </w:rPr>
            </w:pPr>
          </w:p>
        </w:tc>
        <w:tc>
          <w:tcPr>
            <w:tcW w:w="10432" w:type="dxa"/>
            <w:gridSpan w:val="8"/>
            <w:vAlign w:val="center"/>
          </w:tcPr>
          <w:p>
            <w:pPr>
              <w:widowControl/>
              <w:jc w:val="center"/>
              <w:textAlignment w:val="center"/>
              <w:rPr>
                <w:rFonts w:ascii="方正小标宋简体" w:hAnsi="宋体" w:eastAsia="方正小标宋简体" w:cs="宋体"/>
                <w:color w:val="000000"/>
                <w:sz w:val="36"/>
                <w:szCs w:val="36"/>
              </w:rPr>
            </w:pPr>
            <w:r>
              <w:rPr>
                <w:rFonts w:hint="eastAsia" w:ascii="方正小标宋简体" w:hAnsi="宋体" w:eastAsia="方正小标宋简体" w:cs="宋体"/>
                <w:color w:val="000000"/>
                <w:kern w:val="0"/>
                <w:sz w:val="36"/>
                <w:szCs w:val="36"/>
              </w:rPr>
              <w:t>表1.金东</w:t>
            </w:r>
            <w:r>
              <w:rPr>
                <w:rStyle w:val="7"/>
                <w:rFonts w:hint="default" w:ascii="方正小标宋简体" w:eastAsia="方正小标宋简体"/>
              </w:rPr>
              <w:t>区存量住宅用地项目清单</w:t>
            </w:r>
          </w:p>
        </w:tc>
      </w:tr>
      <w:tr>
        <w:tblPrEx>
          <w:tblLayout w:type="fixed"/>
          <w:tblCellMar>
            <w:top w:w="15" w:type="dxa"/>
            <w:left w:w="15" w:type="dxa"/>
            <w:bottom w:w="15" w:type="dxa"/>
            <w:right w:w="15" w:type="dxa"/>
          </w:tblCellMar>
        </w:tblPrEx>
        <w:trPr>
          <w:trHeight w:val="351" w:hRule="atLeast"/>
        </w:trPr>
        <w:tc>
          <w:tcPr>
            <w:tcW w:w="582" w:type="dxa"/>
            <w:vAlign w:val="center"/>
          </w:tcPr>
          <w:p>
            <w:pPr>
              <w:rPr>
                <w:rFonts w:ascii="宋体" w:hAnsi="宋体" w:cs="宋体"/>
                <w:color w:val="000000"/>
                <w:sz w:val="24"/>
                <w:szCs w:val="24"/>
              </w:rPr>
            </w:pPr>
          </w:p>
        </w:tc>
        <w:tc>
          <w:tcPr>
            <w:tcW w:w="2835" w:type="dxa"/>
            <w:gridSpan w:val="3"/>
            <w:vAlign w:val="center"/>
          </w:tcPr>
          <w:p>
            <w:pPr>
              <w:rPr>
                <w:rFonts w:ascii="宋体" w:hAnsi="宋体" w:cs="宋体"/>
                <w:color w:val="000000"/>
                <w:sz w:val="24"/>
                <w:szCs w:val="24"/>
              </w:rPr>
            </w:pPr>
          </w:p>
        </w:tc>
        <w:tc>
          <w:tcPr>
            <w:tcW w:w="2552" w:type="dxa"/>
            <w:vAlign w:val="center"/>
          </w:tcPr>
          <w:p>
            <w:pPr>
              <w:rPr>
                <w:rFonts w:ascii="宋体" w:hAnsi="宋体" w:cs="宋体"/>
                <w:color w:val="000000"/>
                <w:sz w:val="24"/>
                <w:szCs w:val="24"/>
              </w:rPr>
            </w:pPr>
          </w:p>
        </w:tc>
        <w:tc>
          <w:tcPr>
            <w:tcW w:w="850" w:type="dxa"/>
            <w:vAlign w:val="center"/>
          </w:tcPr>
          <w:p>
            <w:pPr>
              <w:rPr>
                <w:rFonts w:ascii="宋体" w:hAnsi="宋体" w:cs="宋体"/>
                <w:color w:val="000000"/>
                <w:sz w:val="24"/>
                <w:szCs w:val="24"/>
              </w:rPr>
            </w:pPr>
          </w:p>
        </w:tc>
        <w:tc>
          <w:tcPr>
            <w:tcW w:w="993" w:type="dxa"/>
            <w:vAlign w:val="center"/>
          </w:tcPr>
          <w:p>
            <w:pPr>
              <w:rPr>
                <w:rFonts w:ascii="宋体" w:hAnsi="宋体" w:cs="宋体"/>
                <w:color w:val="000000"/>
                <w:sz w:val="24"/>
                <w:szCs w:val="24"/>
              </w:rPr>
            </w:pPr>
          </w:p>
        </w:tc>
        <w:tc>
          <w:tcPr>
            <w:tcW w:w="850" w:type="dxa"/>
          </w:tcPr>
          <w:p>
            <w:pPr>
              <w:rPr>
                <w:rFonts w:ascii="宋体" w:hAnsi="宋体" w:cs="宋体"/>
                <w:color w:val="000000"/>
                <w:sz w:val="24"/>
                <w:szCs w:val="24"/>
              </w:rPr>
            </w:pPr>
          </w:p>
        </w:tc>
        <w:tc>
          <w:tcPr>
            <w:tcW w:w="1134" w:type="dxa"/>
            <w:vAlign w:val="center"/>
          </w:tcPr>
          <w:p>
            <w:pPr>
              <w:rPr>
                <w:rFonts w:ascii="宋体" w:hAnsi="宋体" w:cs="宋体"/>
                <w:color w:val="000000"/>
                <w:sz w:val="24"/>
                <w:szCs w:val="24"/>
              </w:rPr>
            </w:pPr>
          </w:p>
        </w:tc>
        <w:tc>
          <w:tcPr>
            <w:tcW w:w="1477" w:type="dxa"/>
          </w:tcPr>
          <w:p>
            <w:pPr>
              <w:widowControl/>
              <w:jc w:val="center"/>
              <w:textAlignment w:val="center"/>
              <w:rPr>
                <w:rFonts w:ascii="宋体" w:hAnsi="宋体" w:cs="宋体"/>
                <w:color w:val="000000"/>
                <w:kern w:val="0"/>
                <w:sz w:val="24"/>
                <w:szCs w:val="24"/>
              </w:rPr>
            </w:pPr>
          </w:p>
        </w:tc>
        <w:tc>
          <w:tcPr>
            <w:tcW w:w="1500"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单位：公顷</w:t>
            </w:r>
          </w:p>
        </w:tc>
      </w:tr>
      <w:tr>
        <w:tblPrEx>
          <w:tblLayout w:type="fixed"/>
          <w:tblCellMar>
            <w:top w:w="15" w:type="dxa"/>
            <w:left w:w="15" w:type="dxa"/>
            <w:bottom w:w="15" w:type="dxa"/>
            <w:right w:w="15" w:type="dxa"/>
          </w:tblCellMar>
        </w:tblPrEx>
        <w:trPr>
          <w:trHeight w:val="609"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序号</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项目名称</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位置</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sz w:val="24"/>
                <w:szCs w:val="24"/>
              </w:rPr>
              <w:t>小区名称</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4"/>
                <w:szCs w:val="24"/>
              </w:rPr>
            </w:pPr>
            <w:r>
              <w:rPr>
                <w:rFonts w:hint="eastAsia" w:ascii="宋体" w:hAnsi="宋体" w:cs="宋体"/>
                <w:b/>
                <w:color w:val="000000"/>
                <w:kern w:val="0"/>
                <w:sz w:val="24"/>
                <w:szCs w:val="24"/>
              </w:rPr>
              <w:t>土地面积</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4"/>
                <w:szCs w:val="24"/>
              </w:rPr>
            </w:pPr>
            <w:r>
              <w:rPr>
                <w:rFonts w:hint="eastAsia" w:ascii="宋体" w:hAnsi="宋体" w:cs="宋体"/>
                <w:b/>
                <w:color w:val="000000"/>
                <w:kern w:val="0"/>
                <w:sz w:val="24"/>
                <w:szCs w:val="24"/>
              </w:rPr>
              <w:t>约定最大容积率</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4"/>
                <w:szCs w:val="24"/>
              </w:rPr>
            </w:pPr>
            <w:r>
              <w:rPr>
                <w:rFonts w:hint="eastAsia" w:ascii="宋体" w:hAnsi="宋体" w:cs="宋体"/>
                <w:b/>
                <w:color w:val="000000"/>
                <w:kern w:val="0"/>
                <w:sz w:val="24"/>
                <w:szCs w:val="24"/>
              </w:rPr>
              <w:t>建设状态</w:t>
            </w: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4"/>
                <w:szCs w:val="24"/>
              </w:rPr>
            </w:pPr>
            <w:r>
              <w:rPr>
                <w:rFonts w:hint="eastAsia" w:ascii="宋体" w:hAnsi="宋体" w:cs="宋体"/>
                <w:b/>
                <w:color w:val="000000"/>
                <w:kern w:val="0"/>
                <w:sz w:val="24"/>
                <w:szCs w:val="24"/>
              </w:rPr>
              <w:t>已核发销售许可的建筑面积</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未销售房屋的土地面积</w:t>
            </w:r>
          </w:p>
        </w:tc>
      </w:tr>
      <w:tr>
        <w:tblPrEx>
          <w:tblLayout w:type="fixed"/>
          <w:tblCellMar>
            <w:top w:w="15" w:type="dxa"/>
            <w:left w:w="15" w:type="dxa"/>
            <w:bottom w:w="15" w:type="dxa"/>
            <w:right w:w="15" w:type="dxa"/>
          </w:tblCellMar>
        </w:tblPrEx>
        <w:trPr>
          <w:trHeight w:val="482"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1</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金华胜城房地产开发有限公司</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曹宅镇03省道北侧MB路以南（原华丰工艺陶瓷厂）</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0"/>
              </w:rPr>
            </w:pPr>
            <w:r>
              <w:rPr>
                <w:rFonts w:hint="eastAsia" w:cs="宋体" w:asciiTheme="minorEastAsia" w:hAnsiTheme="minorEastAsia" w:eastAsiaTheme="minorEastAsia"/>
                <w:color w:val="000000"/>
                <w:sz w:val="20"/>
              </w:rPr>
              <w:t>兰湖小区</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0.713747</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1.9</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0"/>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0"/>
              </w:rPr>
            </w:pPr>
            <w:r>
              <w:rPr>
                <w:rFonts w:hint="eastAsia" w:cs="宋体" w:asciiTheme="minorEastAsia" w:hAnsiTheme="minorEastAsia" w:eastAsiaTheme="minorEastAsia"/>
                <w:color w:val="000000"/>
                <w:sz w:val="20"/>
              </w:rPr>
              <w:t>14897.73</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r>
              <w:rPr>
                <w:rFonts w:hint="eastAsia"/>
                <w:color w:val="000000"/>
                <w:sz w:val="20"/>
              </w:rPr>
              <w:t>0</w:t>
            </w:r>
          </w:p>
        </w:tc>
      </w:tr>
      <w:tr>
        <w:tblPrEx>
          <w:tblLayout w:type="fixed"/>
          <w:tblCellMar>
            <w:top w:w="15" w:type="dxa"/>
            <w:left w:w="15" w:type="dxa"/>
            <w:bottom w:w="15" w:type="dxa"/>
            <w:right w:w="15" w:type="dxa"/>
          </w:tblCellMar>
        </w:tblPrEx>
        <w:trPr>
          <w:trHeight w:val="542"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2</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曹根富</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曹宅镇MB路南侧03省道以北</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0"/>
              </w:rPr>
            </w:pPr>
            <w:r>
              <w:rPr>
                <w:rFonts w:hint="eastAsia" w:cs="宋体" w:asciiTheme="minorEastAsia" w:hAnsiTheme="minorEastAsia" w:eastAsiaTheme="minorEastAsia"/>
                <w:color w:val="000000"/>
                <w:sz w:val="20"/>
              </w:rPr>
              <w:t>龙腾锦都</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0.373334</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1.9</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0"/>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0"/>
              </w:rPr>
            </w:pPr>
            <w:r>
              <w:rPr>
                <w:rFonts w:hint="eastAsia" w:cs="宋体" w:asciiTheme="minorEastAsia" w:hAnsiTheme="minorEastAsia" w:eastAsiaTheme="minorEastAsia"/>
                <w:color w:val="000000"/>
                <w:sz w:val="20"/>
              </w:rPr>
              <w:t>26425.81</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r>
              <w:rPr>
                <w:rFonts w:hint="eastAsia"/>
                <w:color w:val="000000"/>
                <w:sz w:val="20"/>
              </w:rPr>
              <w:t>0</w:t>
            </w:r>
          </w:p>
        </w:tc>
      </w:tr>
      <w:tr>
        <w:tblPrEx>
          <w:tblLayout w:type="fixed"/>
          <w:tblCellMar>
            <w:top w:w="15" w:type="dxa"/>
            <w:left w:w="15" w:type="dxa"/>
            <w:bottom w:w="15" w:type="dxa"/>
            <w:right w:w="15" w:type="dxa"/>
          </w:tblCellMar>
        </w:tblPrEx>
        <w:trPr>
          <w:trHeight w:val="542"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3</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金华市绿盛房地产开发有限公司</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金东区岭下镇330国道以南工业区块北侧</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0"/>
              </w:rPr>
            </w:pPr>
            <w:r>
              <w:rPr>
                <w:rFonts w:hint="eastAsia" w:cs="宋体" w:asciiTheme="minorEastAsia" w:hAnsiTheme="minorEastAsia" w:eastAsiaTheme="minorEastAsia"/>
                <w:color w:val="000000"/>
                <w:sz w:val="20"/>
              </w:rPr>
              <w:t>岭南花园</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3.41957</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2.2</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0"/>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0"/>
              </w:rPr>
            </w:pPr>
            <w:r>
              <w:rPr>
                <w:rFonts w:hint="eastAsia" w:cs="宋体" w:asciiTheme="minorEastAsia" w:hAnsiTheme="minorEastAsia" w:eastAsiaTheme="minorEastAsia"/>
                <w:color w:val="000000"/>
                <w:sz w:val="20"/>
              </w:rPr>
              <w:t>45075.35</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r>
              <w:rPr>
                <w:rFonts w:hint="eastAsia"/>
                <w:color w:val="000000"/>
                <w:sz w:val="20"/>
              </w:rPr>
              <w:t xml:space="preserve">1.37 </w:t>
            </w:r>
          </w:p>
        </w:tc>
      </w:tr>
      <w:tr>
        <w:tblPrEx>
          <w:tblLayout w:type="fixed"/>
          <w:tblCellMar>
            <w:top w:w="15" w:type="dxa"/>
            <w:left w:w="15" w:type="dxa"/>
            <w:bottom w:w="15" w:type="dxa"/>
            <w:right w:w="15" w:type="dxa"/>
          </w:tblCellMar>
        </w:tblPrEx>
        <w:trPr>
          <w:trHeight w:val="494"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4</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金华市鸿泰房地产有限公司</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金东区曹宅镇坦溪东路</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0"/>
              </w:rPr>
            </w:pPr>
            <w:r>
              <w:rPr>
                <w:rFonts w:hint="eastAsia" w:cs="宋体" w:asciiTheme="minorEastAsia" w:hAnsiTheme="minorEastAsia" w:eastAsiaTheme="minorEastAsia"/>
                <w:color w:val="000000"/>
                <w:sz w:val="20"/>
              </w:rPr>
              <w:t>鸿泰豪苑</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0.528618</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0"/>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sz w:val="20"/>
              </w:rPr>
            </w:pPr>
            <w:r>
              <w:rPr>
                <w:rFonts w:hint="eastAsia" w:cs="宋体" w:asciiTheme="minorEastAsia" w:hAnsiTheme="minorEastAsia" w:eastAsiaTheme="minorEastAsia"/>
                <w:color w:val="000000"/>
                <w:sz w:val="20"/>
              </w:rPr>
              <w:t>70309.39</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r>
              <w:rPr>
                <w:rFonts w:hint="eastAsia"/>
                <w:color w:val="000000"/>
                <w:sz w:val="20"/>
              </w:rPr>
              <w:t>0</w:t>
            </w:r>
          </w:p>
        </w:tc>
      </w:tr>
      <w:tr>
        <w:tblPrEx>
          <w:tblLayout w:type="fixed"/>
          <w:tblCellMar>
            <w:top w:w="15" w:type="dxa"/>
            <w:left w:w="15" w:type="dxa"/>
            <w:bottom w:w="15" w:type="dxa"/>
            <w:right w:w="15" w:type="dxa"/>
          </w:tblCellMar>
        </w:tblPrEx>
        <w:trPr>
          <w:trHeight w:val="494"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5</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浙江茂新房地产开发有限公司</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金东区澧浦镇金义东公路南侧、镇中街西侧</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四季枫景</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6.316913</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1.7</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106475.2</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r>
              <w:rPr>
                <w:rFonts w:hint="eastAsia"/>
                <w:color w:val="000000"/>
                <w:sz w:val="20"/>
              </w:rPr>
              <w:t>0</w:t>
            </w:r>
          </w:p>
        </w:tc>
      </w:tr>
      <w:tr>
        <w:tblPrEx>
          <w:tblLayout w:type="fixed"/>
          <w:tblCellMar>
            <w:top w:w="15" w:type="dxa"/>
            <w:left w:w="15" w:type="dxa"/>
            <w:bottom w:w="15" w:type="dxa"/>
            <w:right w:w="15" w:type="dxa"/>
          </w:tblCellMar>
        </w:tblPrEx>
        <w:trPr>
          <w:trHeight w:val="494"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6</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施辰</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金东区曹宅镇03省道北侧（原李子园地块）</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3.55813</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r>
              <w:rPr>
                <w:rFonts w:hint="eastAsia"/>
                <w:color w:val="000000"/>
                <w:sz w:val="20"/>
              </w:rPr>
              <w:t xml:space="preserve">3.56 </w:t>
            </w:r>
          </w:p>
        </w:tc>
      </w:tr>
      <w:tr>
        <w:tblPrEx>
          <w:tblLayout w:type="fixed"/>
          <w:tblCellMar>
            <w:top w:w="15" w:type="dxa"/>
            <w:left w:w="15" w:type="dxa"/>
            <w:bottom w:w="15" w:type="dxa"/>
            <w:right w:w="15" w:type="dxa"/>
          </w:tblCellMar>
        </w:tblPrEx>
        <w:trPr>
          <w:trHeight w:val="494"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7</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浙江茂新房地产开发有限公司</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FF0000"/>
                <w:sz w:val="20"/>
              </w:rPr>
            </w:pPr>
            <w:r>
              <w:rPr>
                <w:rFonts w:hint="eastAsia" w:asciiTheme="minorEastAsia" w:hAnsiTheme="minorEastAsia" w:eastAsiaTheme="minorEastAsia"/>
                <w:sz w:val="20"/>
              </w:rPr>
              <w:t>金东区塘雅镇商住2号地块</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丽景小区</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2.04226</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1.8</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36458.83</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r>
              <w:rPr>
                <w:rFonts w:hint="eastAsia"/>
                <w:color w:val="000000"/>
                <w:sz w:val="20"/>
              </w:rPr>
              <w:t>0</w:t>
            </w:r>
          </w:p>
        </w:tc>
      </w:tr>
      <w:tr>
        <w:tblPrEx>
          <w:tblLayout w:type="fixed"/>
          <w:tblCellMar>
            <w:top w:w="15" w:type="dxa"/>
            <w:left w:w="15" w:type="dxa"/>
            <w:bottom w:w="15" w:type="dxa"/>
            <w:right w:w="15" w:type="dxa"/>
          </w:tblCellMar>
        </w:tblPrEx>
        <w:trPr>
          <w:trHeight w:val="494"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8</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浙江中天房地产集团有限公司</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康济街东侧、东兴路南侧</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江上明月</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6.907328</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1.5</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98964.96</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r>
              <w:rPr>
                <w:rFonts w:hint="eastAsia"/>
                <w:color w:val="000000"/>
                <w:sz w:val="20"/>
              </w:rPr>
              <w:t>0</w:t>
            </w:r>
          </w:p>
        </w:tc>
      </w:tr>
      <w:tr>
        <w:tblPrEx>
          <w:tblLayout w:type="fixed"/>
          <w:tblCellMar>
            <w:top w:w="15" w:type="dxa"/>
            <w:left w:w="15" w:type="dxa"/>
            <w:bottom w:w="15" w:type="dxa"/>
            <w:right w:w="15" w:type="dxa"/>
          </w:tblCellMar>
        </w:tblPrEx>
        <w:trPr>
          <w:trHeight w:val="494"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9</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绍兴光南企业管理咨询有限公司、绍兴飘萍企业管理咨询有限公司</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东兴路北侧、现状道路东侧</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风和苑</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2.10615</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1.8</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37373.56</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r>
              <w:rPr>
                <w:rFonts w:hint="eastAsia"/>
                <w:color w:val="000000"/>
                <w:sz w:val="20"/>
              </w:rPr>
              <w:t>0</w:t>
            </w:r>
          </w:p>
        </w:tc>
      </w:tr>
      <w:tr>
        <w:tblPrEx>
          <w:tblLayout w:type="fixed"/>
          <w:tblCellMar>
            <w:top w:w="15" w:type="dxa"/>
            <w:left w:w="15" w:type="dxa"/>
            <w:bottom w:w="15" w:type="dxa"/>
            <w:right w:w="15" w:type="dxa"/>
          </w:tblCellMar>
        </w:tblPrEx>
        <w:trPr>
          <w:trHeight w:val="494"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10</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绍兴宾虹企业管理咨询有限公司、绍兴安地企业管理咨询有限公司</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东兴路南侧、清照路北侧</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悦江阁</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4.359751</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1.5</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64414.44</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r>
              <w:rPr>
                <w:rFonts w:hint="eastAsia"/>
                <w:color w:val="000000"/>
                <w:sz w:val="20"/>
              </w:rPr>
              <w:t xml:space="preserve">0 </w:t>
            </w:r>
          </w:p>
        </w:tc>
      </w:tr>
      <w:tr>
        <w:tblPrEx>
          <w:tblLayout w:type="fixed"/>
          <w:tblCellMar>
            <w:top w:w="15" w:type="dxa"/>
            <w:left w:w="15" w:type="dxa"/>
            <w:bottom w:w="15" w:type="dxa"/>
            <w:right w:w="15" w:type="dxa"/>
          </w:tblCellMar>
        </w:tblPrEx>
        <w:trPr>
          <w:trHeight w:val="494"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11</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绍兴金辽企业管理咨询有限公司</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建才路北侧、大堰河街东侧、康济街西侧</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大境花园</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12.275853</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2.0</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217879.03</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r>
              <w:rPr>
                <w:rFonts w:hint="eastAsia"/>
                <w:color w:val="000000"/>
                <w:sz w:val="20"/>
              </w:rPr>
              <w:t xml:space="preserve">1.38 </w:t>
            </w:r>
          </w:p>
        </w:tc>
      </w:tr>
      <w:tr>
        <w:tblPrEx>
          <w:tblLayout w:type="fixed"/>
          <w:tblCellMar>
            <w:top w:w="15" w:type="dxa"/>
            <w:left w:w="15" w:type="dxa"/>
            <w:bottom w:w="15" w:type="dxa"/>
            <w:right w:w="15" w:type="dxa"/>
          </w:tblCellMar>
        </w:tblPrEx>
        <w:trPr>
          <w:trHeight w:val="494"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12</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东阳市中昂置业有限公司</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金东区曹宅镇03省道南侧、镇中南街西侧</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璟玥花园</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4.735164</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2.3</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104154.15</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r>
              <w:rPr>
                <w:rFonts w:hint="eastAsia" w:ascii="宋体" w:hAnsi="宋体" w:cs="宋体"/>
                <w:color w:val="000000"/>
                <w:sz w:val="20"/>
              </w:rPr>
              <w:t>0</w:t>
            </w:r>
          </w:p>
        </w:tc>
      </w:tr>
      <w:tr>
        <w:tblPrEx>
          <w:tblLayout w:type="fixed"/>
          <w:tblCellMar>
            <w:top w:w="15" w:type="dxa"/>
            <w:left w:w="15" w:type="dxa"/>
            <w:bottom w:w="15" w:type="dxa"/>
            <w:right w:w="15" w:type="dxa"/>
          </w:tblCellMar>
        </w:tblPrEx>
        <w:trPr>
          <w:trHeight w:val="494"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13</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浙江茂新房地产开发有限公司</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金盆街以东、玉泉东路以南</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玉泉院</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4.445153</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1.4</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58992.82</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r>
              <w:rPr>
                <w:rFonts w:hint="eastAsia" w:ascii="宋体" w:hAnsi="宋体" w:cs="宋体"/>
                <w:color w:val="000000"/>
                <w:sz w:val="20"/>
              </w:rPr>
              <w:t>0</w:t>
            </w:r>
          </w:p>
        </w:tc>
      </w:tr>
      <w:tr>
        <w:tblPrEx>
          <w:tblLayout w:type="fixed"/>
          <w:tblCellMar>
            <w:top w:w="15" w:type="dxa"/>
            <w:left w:w="15" w:type="dxa"/>
            <w:bottom w:w="15" w:type="dxa"/>
            <w:right w:w="15" w:type="dxa"/>
          </w:tblCellMar>
        </w:tblPrEx>
        <w:trPr>
          <w:trHeight w:val="494"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14</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衢州荣千房地产开发有限公司（碧桂园）</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金东新城区环城东路东侧、建才路北侧</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湖境佳苑</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5.912201</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1.80</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104501.12</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r>
              <w:rPr>
                <w:rFonts w:hint="eastAsia" w:ascii="宋体" w:hAnsi="宋体" w:cs="宋体"/>
                <w:color w:val="000000"/>
                <w:sz w:val="20"/>
              </w:rPr>
              <w:t>0</w:t>
            </w:r>
          </w:p>
        </w:tc>
      </w:tr>
      <w:tr>
        <w:tblPrEx>
          <w:tblLayout w:type="fixed"/>
          <w:tblCellMar>
            <w:top w:w="15" w:type="dxa"/>
            <w:left w:w="15" w:type="dxa"/>
            <w:bottom w:w="15" w:type="dxa"/>
            <w:right w:w="15" w:type="dxa"/>
          </w:tblCellMar>
        </w:tblPrEx>
        <w:trPr>
          <w:trHeight w:val="494"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15</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杭州天沁企业管理有限公司（杭州天阳）</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清照路北侧纵七路东侧纵八路西侧</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云栖江境</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4.089139</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1.30</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50215.78</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r>
              <w:rPr>
                <w:rFonts w:hint="eastAsia"/>
                <w:color w:val="000000"/>
                <w:sz w:val="20"/>
              </w:rPr>
              <w:t>0</w:t>
            </w:r>
          </w:p>
        </w:tc>
      </w:tr>
      <w:tr>
        <w:tblPrEx>
          <w:tblLayout w:type="fixed"/>
          <w:tblCellMar>
            <w:top w:w="15" w:type="dxa"/>
            <w:left w:w="15" w:type="dxa"/>
            <w:bottom w:w="15" w:type="dxa"/>
            <w:right w:w="15" w:type="dxa"/>
          </w:tblCellMar>
        </w:tblPrEx>
        <w:trPr>
          <w:trHeight w:val="494"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16</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农工商房地产（集团）有限公司1</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金东区江东镇金武街东侧、南下王路南侧</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东润花园南区</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0.7073</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1.5</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10327.37</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r>
              <w:rPr>
                <w:rFonts w:hint="eastAsia"/>
                <w:color w:val="000000"/>
                <w:sz w:val="20"/>
              </w:rPr>
              <w:t>0</w:t>
            </w:r>
          </w:p>
        </w:tc>
      </w:tr>
      <w:tr>
        <w:tblPrEx>
          <w:tblLayout w:type="fixed"/>
          <w:tblCellMar>
            <w:top w:w="15" w:type="dxa"/>
            <w:left w:w="15" w:type="dxa"/>
            <w:bottom w:w="15" w:type="dxa"/>
            <w:right w:w="15" w:type="dxa"/>
          </w:tblCellMar>
        </w:tblPrEx>
        <w:trPr>
          <w:trHeight w:val="494"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17</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农工商房地产（集团）有限公司</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金东区江东镇金武街东侧、南下王路北侧</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东润花园北区</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1.8577</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1.7</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30780.18</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r>
              <w:rPr>
                <w:rFonts w:hint="eastAsia"/>
                <w:color w:val="000000"/>
                <w:sz w:val="20"/>
              </w:rPr>
              <w:t>0</w:t>
            </w:r>
          </w:p>
        </w:tc>
      </w:tr>
      <w:tr>
        <w:tblPrEx>
          <w:tblLayout w:type="fixed"/>
          <w:tblCellMar>
            <w:top w:w="15" w:type="dxa"/>
            <w:left w:w="15" w:type="dxa"/>
            <w:bottom w:w="15" w:type="dxa"/>
            <w:right w:w="15" w:type="dxa"/>
          </w:tblCellMar>
        </w:tblPrEx>
        <w:trPr>
          <w:trHeight w:val="494"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18</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宁波市梅山美的房地产发展有限公司</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金东新城区永济街以东、艾青路南侧</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云筑花园</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2.689216</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1.90</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49863.6</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r>
              <w:rPr>
                <w:rFonts w:hint="eastAsia"/>
                <w:color w:val="000000"/>
                <w:sz w:val="20"/>
              </w:rPr>
              <w:t>0</w:t>
            </w:r>
          </w:p>
        </w:tc>
      </w:tr>
      <w:tr>
        <w:tblPrEx>
          <w:tblLayout w:type="fixed"/>
          <w:tblCellMar>
            <w:top w:w="15" w:type="dxa"/>
            <w:left w:w="15" w:type="dxa"/>
            <w:bottom w:w="15" w:type="dxa"/>
            <w:right w:w="15" w:type="dxa"/>
          </w:tblCellMar>
        </w:tblPrEx>
        <w:trPr>
          <w:trHeight w:val="494"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19</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浙江茂新房地产开发有限公司位于塘雅镇规划1号路西侧、规划道路北侧商住用地</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金东区塘雅镇规划1号路西侧、规划道路北侧</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新丽园</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1.1374</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1.9</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21176.41</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r>
              <w:rPr>
                <w:rFonts w:hint="eastAsia"/>
                <w:color w:val="000000"/>
                <w:sz w:val="20"/>
              </w:rPr>
              <w:t>0</w:t>
            </w:r>
          </w:p>
        </w:tc>
      </w:tr>
      <w:tr>
        <w:tblPrEx>
          <w:tblLayout w:type="fixed"/>
          <w:tblCellMar>
            <w:top w:w="15" w:type="dxa"/>
            <w:left w:w="15" w:type="dxa"/>
            <w:bottom w:w="15" w:type="dxa"/>
            <w:right w:w="15" w:type="dxa"/>
          </w:tblCellMar>
        </w:tblPrEx>
        <w:trPr>
          <w:trHeight w:val="494"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20</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广州市敏捷房地产有限公司竞得环城东路以东、宋濂路以南、多湖派出所以西、市药检局以北地块住宅零售商业用地</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环城东路以东、宋濂路以南、多湖派出所以西、市药检局以北</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星汇源著花园</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2.90305</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17077.06</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r>
              <w:rPr>
                <w:rFonts w:hint="eastAsia"/>
                <w:color w:val="000000"/>
                <w:sz w:val="20"/>
              </w:rPr>
              <w:t xml:space="preserve">2.05 </w:t>
            </w:r>
          </w:p>
        </w:tc>
      </w:tr>
      <w:tr>
        <w:tblPrEx>
          <w:tblLayout w:type="fixed"/>
          <w:tblCellMar>
            <w:top w:w="15" w:type="dxa"/>
            <w:left w:w="15" w:type="dxa"/>
            <w:bottom w:w="15" w:type="dxa"/>
            <w:right w:w="15" w:type="dxa"/>
          </w:tblCellMar>
        </w:tblPrEx>
        <w:trPr>
          <w:trHeight w:val="494"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21</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保利浙南房地产开发有限公司位于金东区艾青路以南、博士街以西商住用地</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金东区艾青路以南、博士街以西</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海秀花园</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6.64079</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2.1</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57746.11</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r>
              <w:rPr>
                <w:rFonts w:hint="eastAsia"/>
                <w:color w:val="000000"/>
                <w:sz w:val="20"/>
              </w:rPr>
              <w:t xml:space="preserve">3.89 </w:t>
            </w:r>
          </w:p>
        </w:tc>
      </w:tr>
      <w:tr>
        <w:tblPrEx>
          <w:tblLayout w:type="fixed"/>
          <w:tblCellMar>
            <w:top w:w="15" w:type="dxa"/>
            <w:left w:w="15" w:type="dxa"/>
            <w:bottom w:w="15" w:type="dxa"/>
            <w:right w:w="15" w:type="dxa"/>
          </w:tblCellMar>
        </w:tblPrEx>
        <w:trPr>
          <w:trHeight w:val="494"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22</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东阳东朗建筑劳务有限公司</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金东区曹宅镇103省道东侧杭金衢高速路以北</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新乐雅苑</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0.5973</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0</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r>
              <w:rPr>
                <w:rFonts w:hint="eastAsia"/>
                <w:color w:val="000000"/>
                <w:sz w:val="20"/>
              </w:rPr>
              <w:t xml:space="preserve">0.60 </w:t>
            </w:r>
          </w:p>
        </w:tc>
      </w:tr>
      <w:tr>
        <w:tblPrEx>
          <w:tblLayout w:type="fixed"/>
          <w:tblCellMar>
            <w:top w:w="15" w:type="dxa"/>
            <w:left w:w="15" w:type="dxa"/>
            <w:bottom w:w="15" w:type="dxa"/>
            <w:right w:w="15" w:type="dxa"/>
          </w:tblCellMar>
        </w:tblPrEx>
        <w:trPr>
          <w:trHeight w:val="494"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23</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金华万固房地产开发有限公司竞得金瓯路以北、规划纵七路以西住宅零售商业用地</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金东区金瓯路以北、规划纵七路以西、规划横三路以南、规划纵四路以东</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江潮名邸</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5.990482</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2.3</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53400.02</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r>
              <w:rPr>
                <w:rFonts w:hint="eastAsia"/>
                <w:color w:val="000000"/>
                <w:sz w:val="20"/>
              </w:rPr>
              <w:t xml:space="preserve">3.67 </w:t>
            </w:r>
          </w:p>
        </w:tc>
      </w:tr>
      <w:tr>
        <w:tblPrEx>
          <w:tblLayout w:type="fixed"/>
          <w:tblCellMar>
            <w:top w:w="15" w:type="dxa"/>
            <w:left w:w="15" w:type="dxa"/>
            <w:bottom w:w="15" w:type="dxa"/>
            <w:right w:w="15" w:type="dxa"/>
          </w:tblCellMar>
        </w:tblPrEx>
        <w:trPr>
          <w:trHeight w:val="494"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24</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浙江新纪元置业集团有限公司位于塘雅镇金义快速路以南商住地块</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塘雅镇环镇西路以东、金义快速路以南、环镇北路以北、平安路以西</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云之境</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2.514509</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2.2</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0</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r>
              <w:rPr>
                <w:rFonts w:hint="eastAsia"/>
                <w:color w:val="000000"/>
                <w:sz w:val="20"/>
              </w:rPr>
              <w:t xml:space="preserve">2.51 </w:t>
            </w:r>
          </w:p>
        </w:tc>
      </w:tr>
      <w:tr>
        <w:tblPrEx>
          <w:tblLayout w:type="fixed"/>
          <w:tblCellMar>
            <w:top w:w="15" w:type="dxa"/>
            <w:left w:w="15" w:type="dxa"/>
            <w:bottom w:w="15" w:type="dxa"/>
            <w:right w:w="15" w:type="dxa"/>
          </w:tblCellMar>
        </w:tblPrEx>
        <w:trPr>
          <w:trHeight w:val="494"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25</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浦江万固盛欣企业管理有限公司竞得金瓯路以北、规划纵六路以东商住用地</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金瓯路以北、规划纵六路以东、规划横三路以南、规划纵十路以西</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云泰璟园</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7.497747</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2.4</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0</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rPr>
            </w:pPr>
            <w:r>
              <w:rPr>
                <w:rFonts w:hint="eastAsia"/>
                <w:color w:val="000000"/>
                <w:sz w:val="20"/>
              </w:rPr>
              <w:t xml:space="preserve">7.50 </w:t>
            </w:r>
          </w:p>
        </w:tc>
      </w:tr>
      <w:tr>
        <w:tblPrEx>
          <w:tblLayout w:type="fixed"/>
          <w:tblCellMar>
            <w:top w:w="15" w:type="dxa"/>
            <w:left w:w="15" w:type="dxa"/>
            <w:bottom w:w="15" w:type="dxa"/>
            <w:right w:w="15" w:type="dxa"/>
          </w:tblCellMar>
        </w:tblPrEx>
        <w:trPr>
          <w:trHeight w:val="494"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26</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金华市合耀企业管理咨询有限公司竞得金东新城区金瓯路北侧商住地块</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金东新城区纵一路以东、横三路以南、纵二路以西、金瓯路以北</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7.205762</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未动工</w:t>
            </w: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p>
        </w:tc>
      </w:tr>
      <w:tr>
        <w:tblPrEx>
          <w:tblLayout w:type="fixed"/>
          <w:tblCellMar>
            <w:top w:w="15" w:type="dxa"/>
            <w:left w:w="15" w:type="dxa"/>
            <w:bottom w:w="15" w:type="dxa"/>
            <w:right w:w="15" w:type="dxa"/>
          </w:tblCellMar>
        </w:tblPrEx>
        <w:trPr>
          <w:trHeight w:val="494"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27</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金华市金东城市建设投资集团有限公司竞得环城南路以南、规划路以东商住地块</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环城南路以南、规划路以东</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5.255025</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2.73</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未动工</w:t>
            </w: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p>
        </w:tc>
      </w:tr>
      <w:tr>
        <w:tblPrEx>
          <w:tblLayout w:type="fixed"/>
          <w:tblCellMar>
            <w:top w:w="15" w:type="dxa"/>
            <w:left w:w="15" w:type="dxa"/>
            <w:bottom w:w="15" w:type="dxa"/>
            <w:right w:w="15" w:type="dxa"/>
          </w:tblCellMar>
        </w:tblPrEx>
        <w:trPr>
          <w:trHeight w:val="494"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28</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sz w:val="20"/>
              </w:rPr>
            </w:pPr>
            <w:r>
              <w:rPr>
                <w:rFonts w:hint="eastAsia" w:asciiTheme="minorEastAsia" w:hAnsiTheme="minorEastAsia" w:eastAsiaTheme="minorEastAsia"/>
                <w:sz w:val="20"/>
              </w:rPr>
              <w:t>金华市厚朴租赁服务有限公司竞得纵一路以东、李渔东路以南商住地块</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纵一路以东、李渔东路以南、二环东路以西、丹溪东路以北</w:t>
            </w:r>
          </w:p>
          <w:p>
            <w:pPr>
              <w:jc w:val="center"/>
              <w:rPr>
                <w:rFonts w:cs="宋体" w:asciiTheme="minorEastAsia" w:hAnsiTheme="minorEastAsia" w:eastAsiaTheme="minorEastAsia"/>
                <w:color w:val="000000"/>
                <w:sz w:val="20"/>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r>
              <w:rPr>
                <w:rFonts w:hint="eastAsia" w:asciiTheme="minorEastAsia" w:hAnsiTheme="minorEastAsia" w:eastAsiaTheme="minorEastAsia"/>
                <w:color w:val="000000"/>
                <w:sz w:val="20"/>
              </w:rPr>
              <w:t>5.601426</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asciiTheme="minorEastAsia" w:hAnsiTheme="minorEastAsia" w:eastAsiaTheme="minorEastAsia"/>
                <w:color w:val="000000"/>
                <w:sz w:val="20"/>
              </w:rPr>
              <w:t>1.5</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r>
              <w:rPr>
                <w:rFonts w:hint="eastAsia" w:cs="宋体" w:asciiTheme="minorEastAsia" w:hAnsiTheme="minorEastAsia" w:eastAsiaTheme="minorEastAsia"/>
                <w:color w:val="000000"/>
                <w:kern w:val="0"/>
                <w:sz w:val="20"/>
              </w:rPr>
              <w:t>未动工</w:t>
            </w: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eastAsiaTheme="minorEastAsia"/>
                <w:color w:val="000000"/>
                <w:kern w:val="0"/>
                <w:sz w:val="20"/>
              </w:rPr>
            </w:pP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0"/>
              </w:rPr>
            </w:pPr>
          </w:p>
        </w:tc>
      </w:tr>
      <w:tr>
        <w:tblPrEx>
          <w:tblLayout w:type="fixed"/>
          <w:tblCellMar>
            <w:top w:w="15" w:type="dxa"/>
            <w:left w:w="15" w:type="dxa"/>
            <w:bottom w:w="15" w:type="dxa"/>
            <w:right w:w="15" w:type="dxa"/>
          </w:tblCellMar>
        </w:tblPrEx>
        <w:trPr>
          <w:trHeight w:val="313" w:hRule="atLeast"/>
        </w:trPr>
        <w:tc>
          <w:tcPr>
            <w:tcW w:w="582" w:type="dxa"/>
            <w:vAlign w:val="center"/>
          </w:tcPr>
          <w:p>
            <w:pPr>
              <w:rPr>
                <w:rFonts w:ascii="宋体" w:hAnsi="宋体" w:cs="宋体"/>
                <w:color w:val="000000"/>
                <w:sz w:val="24"/>
                <w:szCs w:val="24"/>
              </w:rPr>
            </w:pPr>
          </w:p>
        </w:tc>
        <w:tc>
          <w:tcPr>
            <w:tcW w:w="2835" w:type="dxa"/>
            <w:gridSpan w:val="3"/>
            <w:vAlign w:val="center"/>
          </w:tcPr>
          <w:p>
            <w:pPr>
              <w:rPr>
                <w:rFonts w:ascii="宋体" w:hAnsi="宋体" w:cs="宋体"/>
                <w:color w:val="000000"/>
                <w:sz w:val="24"/>
                <w:szCs w:val="24"/>
              </w:rPr>
            </w:pPr>
          </w:p>
        </w:tc>
        <w:tc>
          <w:tcPr>
            <w:tcW w:w="2552" w:type="dxa"/>
            <w:vAlign w:val="center"/>
          </w:tcPr>
          <w:p>
            <w:pPr>
              <w:rPr>
                <w:rFonts w:ascii="宋体" w:hAnsi="宋体" w:cs="宋体"/>
                <w:color w:val="000000"/>
                <w:sz w:val="24"/>
                <w:szCs w:val="24"/>
              </w:rPr>
            </w:pPr>
          </w:p>
        </w:tc>
        <w:tc>
          <w:tcPr>
            <w:tcW w:w="850" w:type="dxa"/>
            <w:vAlign w:val="center"/>
          </w:tcPr>
          <w:p>
            <w:pPr>
              <w:rPr>
                <w:rFonts w:ascii="宋体" w:hAnsi="宋体" w:cs="宋体"/>
                <w:color w:val="000000"/>
                <w:sz w:val="24"/>
                <w:szCs w:val="24"/>
              </w:rPr>
            </w:pPr>
          </w:p>
        </w:tc>
        <w:tc>
          <w:tcPr>
            <w:tcW w:w="993" w:type="dxa"/>
            <w:vAlign w:val="center"/>
          </w:tcPr>
          <w:p>
            <w:pPr>
              <w:rPr>
                <w:rFonts w:ascii="宋体" w:hAnsi="宋体" w:cs="宋体"/>
                <w:color w:val="000000"/>
                <w:sz w:val="24"/>
                <w:szCs w:val="24"/>
              </w:rPr>
            </w:pPr>
          </w:p>
        </w:tc>
        <w:tc>
          <w:tcPr>
            <w:tcW w:w="850" w:type="dxa"/>
          </w:tcPr>
          <w:p>
            <w:pPr>
              <w:rPr>
                <w:rFonts w:ascii="宋体" w:hAnsi="宋体" w:cs="宋体"/>
                <w:color w:val="000000"/>
                <w:sz w:val="24"/>
                <w:szCs w:val="24"/>
              </w:rPr>
            </w:pPr>
          </w:p>
        </w:tc>
        <w:tc>
          <w:tcPr>
            <w:tcW w:w="1134" w:type="dxa"/>
            <w:vAlign w:val="center"/>
          </w:tcPr>
          <w:p>
            <w:pPr>
              <w:rPr>
                <w:rFonts w:ascii="宋体" w:hAnsi="宋体" w:cs="宋体"/>
                <w:color w:val="000000"/>
                <w:sz w:val="24"/>
                <w:szCs w:val="24"/>
              </w:rPr>
            </w:pPr>
          </w:p>
        </w:tc>
        <w:tc>
          <w:tcPr>
            <w:tcW w:w="1477" w:type="dxa"/>
          </w:tcPr>
          <w:p>
            <w:pPr>
              <w:rPr>
                <w:rFonts w:ascii="宋体" w:hAnsi="宋体" w:cs="宋体"/>
                <w:color w:val="000000"/>
                <w:sz w:val="24"/>
                <w:szCs w:val="24"/>
              </w:rPr>
            </w:pPr>
          </w:p>
        </w:tc>
        <w:tc>
          <w:tcPr>
            <w:tcW w:w="1500" w:type="dxa"/>
            <w:vAlign w:val="center"/>
          </w:tcPr>
          <w:p>
            <w:pP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3000" w:hRule="atLeast"/>
        </w:trPr>
        <w:tc>
          <w:tcPr>
            <w:tcW w:w="1431" w:type="dxa"/>
            <w:gridSpan w:val="2"/>
          </w:tcPr>
          <w:p>
            <w:pPr>
              <w:widowControl/>
              <w:jc w:val="left"/>
              <w:textAlignment w:val="top"/>
              <w:rPr>
                <w:rFonts w:ascii="宋体" w:hAnsi="宋体" w:cs="宋体"/>
                <w:color w:val="000000"/>
                <w:kern w:val="0"/>
                <w:sz w:val="24"/>
                <w:szCs w:val="24"/>
              </w:rPr>
            </w:pPr>
          </w:p>
        </w:tc>
        <w:tc>
          <w:tcPr>
            <w:tcW w:w="910" w:type="dxa"/>
          </w:tcPr>
          <w:p>
            <w:pPr>
              <w:widowControl/>
              <w:jc w:val="left"/>
              <w:textAlignment w:val="top"/>
              <w:rPr>
                <w:rFonts w:ascii="宋体" w:hAnsi="宋体" w:cs="宋体"/>
                <w:color w:val="000000"/>
                <w:kern w:val="0"/>
                <w:sz w:val="24"/>
                <w:szCs w:val="24"/>
              </w:rPr>
            </w:pPr>
          </w:p>
        </w:tc>
        <w:tc>
          <w:tcPr>
            <w:tcW w:w="10432" w:type="dxa"/>
            <w:gridSpan w:val="8"/>
          </w:tcPr>
          <w:p>
            <w:pPr>
              <w:widowControl/>
              <w:jc w:val="left"/>
              <w:textAlignment w:val="top"/>
              <w:rPr>
                <w:rFonts w:ascii="宋体" w:hAnsi="宋体" w:cs="宋体"/>
                <w:color w:val="000000"/>
                <w:sz w:val="24"/>
                <w:szCs w:val="24"/>
              </w:rPr>
            </w:pPr>
            <w:r>
              <w:rPr>
                <w:rFonts w:hint="eastAsia" w:ascii="宋体" w:hAnsi="宋体" w:cs="宋体"/>
                <w:color w:val="000000"/>
                <w:kern w:val="0"/>
                <w:sz w:val="24"/>
                <w:szCs w:val="24"/>
              </w:rPr>
              <w:t>填表说明：</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1.关于（4）住宅类型：应选择填写“普通商品房”“租赁型商品房”“共有产权房”“公租房”。</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2.关于（6）建设状态：应选择填写“未动工”“已动工未竣工”。</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3.关于（7）未纳入房屋销售的土地面积：此项只针对“已动工未竣工”的项目，“未动工”项目不需填写。核算方法为：设该地块总面积为S，其出让合同中约定的容积率为R，已核发销售许可的建筑面积为A，则未纳入房屋销售的土地面积=S-A/R。其中A的具体数值应根据相关部门依法核发的证载面积确定。</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4.各表项数量关系：（5）≥（7）</w:t>
            </w:r>
          </w:p>
        </w:tc>
      </w:tr>
    </w:tbl>
    <w:p>
      <w:pPr>
        <w:rPr>
          <w:rFonts w:hint="eastAsia" w:ascii="仿宋_GB2312" w:eastAsia="仿宋_GB2312"/>
          <w:spacing w:val="2"/>
          <w:w w:val="90"/>
          <w:sz w:val="32"/>
          <w:szCs w:val="32"/>
        </w:rPr>
      </w:pPr>
    </w:p>
    <w:p>
      <w:pPr>
        <w:rPr>
          <w:rFonts w:hint="eastAsia" w:ascii="仿宋_GB2312" w:eastAsia="仿宋_GB2312"/>
          <w:spacing w:val="2"/>
          <w:w w:val="90"/>
          <w:sz w:val="32"/>
          <w:szCs w:val="32"/>
        </w:rPr>
      </w:pPr>
    </w:p>
    <w:p>
      <w:pPr>
        <w:rPr>
          <w:rFonts w:hint="eastAsia" w:ascii="仿宋_GB2312" w:eastAsia="仿宋_GB2312"/>
          <w:spacing w:val="2"/>
          <w:w w:val="90"/>
          <w:sz w:val="32"/>
          <w:szCs w:val="32"/>
        </w:rPr>
      </w:pPr>
    </w:p>
    <w:p>
      <w:pPr>
        <w:rPr>
          <w:rFonts w:hint="eastAsia" w:ascii="仿宋_GB2312" w:eastAsia="仿宋_GB2312"/>
          <w:spacing w:val="2"/>
          <w:w w:val="90"/>
          <w:sz w:val="32"/>
          <w:szCs w:val="32"/>
        </w:rPr>
      </w:pPr>
    </w:p>
    <w:p>
      <w:pPr>
        <w:rPr>
          <w:rFonts w:hint="eastAsia" w:ascii="仿宋_GB2312" w:eastAsia="仿宋_GB2312"/>
          <w:spacing w:val="2"/>
          <w:w w:val="90"/>
          <w:sz w:val="32"/>
          <w:szCs w:val="32"/>
        </w:rPr>
      </w:pPr>
    </w:p>
    <w:p>
      <w:pPr>
        <w:rPr>
          <w:rFonts w:hint="eastAsia" w:ascii="仿宋_GB2312" w:eastAsia="仿宋_GB2312"/>
          <w:spacing w:val="2"/>
          <w:w w:val="90"/>
          <w:sz w:val="32"/>
          <w:szCs w:val="32"/>
        </w:rPr>
      </w:pPr>
    </w:p>
    <w:p>
      <w:pPr>
        <w:rPr>
          <w:rFonts w:hint="eastAsia" w:ascii="仿宋_GB2312" w:eastAsia="仿宋_GB2312"/>
          <w:spacing w:val="2"/>
          <w:w w:val="90"/>
          <w:sz w:val="32"/>
          <w:szCs w:val="32"/>
        </w:rPr>
      </w:pPr>
    </w:p>
    <w:p>
      <w:pPr>
        <w:rPr>
          <w:rFonts w:ascii="仿宋_GB2312" w:eastAsia="仿宋_GB2312"/>
          <w:spacing w:val="2"/>
          <w:w w:val="90"/>
          <w:sz w:val="32"/>
          <w:szCs w:val="32"/>
        </w:rPr>
      </w:pPr>
    </w:p>
    <w:tbl>
      <w:tblPr>
        <w:tblStyle w:val="4"/>
        <w:tblW w:w="12786" w:type="dxa"/>
        <w:tblInd w:w="0" w:type="dxa"/>
        <w:tblLayout w:type="fixed"/>
        <w:tblCellMar>
          <w:top w:w="15" w:type="dxa"/>
          <w:left w:w="15" w:type="dxa"/>
          <w:bottom w:w="15" w:type="dxa"/>
          <w:right w:w="15" w:type="dxa"/>
        </w:tblCellMar>
      </w:tblPr>
      <w:tblGrid>
        <w:gridCol w:w="1839"/>
        <w:gridCol w:w="3077"/>
        <w:gridCol w:w="2307"/>
        <w:gridCol w:w="2755"/>
        <w:gridCol w:w="2808"/>
      </w:tblGrid>
      <w:tr>
        <w:tblPrEx>
          <w:tblLayout w:type="fixed"/>
          <w:tblCellMar>
            <w:top w:w="15" w:type="dxa"/>
            <w:left w:w="15" w:type="dxa"/>
            <w:bottom w:w="15" w:type="dxa"/>
            <w:right w:w="15" w:type="dxa"/>
          </w:tblCellMar>
        </w:tblPrEx>
        <w:trPr>
          <w:trHeight w:val="1275" w:hRule="atLeast"/>
        </w:trPr>
        <w:tc>
          <w:tcPr>
            <w:tcW w:w="12786" w:type="dxa"/>
            <w:gridSpan w:val="5"/>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rPr>
              <w:t>表2.</w:t>
            </w:r>
            <w:r>
              <w:rPr>
                <w:rStyle w:val="6"/>
                <w:rFonts w:hint="default"/>
                <w:u w:val="none"/>
              </w:rPr>
              <w:t>金东区</w:t>
            </w:r>
            <w:r>
              <w:rPr>
                <w:rStyle w:val="7"/>
                <w:rFonts w:hint="default"/>
              </w:rPr>
              <w:t>存量住宅用地信息汇总表</w:t>
            </w:r>
          </w:p>
        </w:tc>
      </w:tr>
      <w:tr>
        <w:tblPrEx>
          <w:tblLayout w:type="fixed"/>
          <w:tblCellMar>
            <w:top w:w="15" w:type="dxa"/>
            <w:left w:w="15" w:type="dxa"/>
            <w:bottom w:w="15" w:type="dxa"/>
            <w:right w:w="15" w:type="dxa"/>
          </w:tblCellMar>
        </w:tblPrEx>
        <w:trPr>
          <w:trHeight w:val="645" w:hRule="atLeast"/>
        </w:trPr>
        <w:tc>
          <w:tcPr>
            <w:tcW w:w="1839" w:type="dxa"/>
            <w:vAlign w:val="center"/>
          </w:tcPr>
          <w:p>
            <w:pPr>
              <w:rPr>
                <w:rFonts w:ascii="宋体" w:hAnsi="宋体" w:cs="宋体"/>
                <w:color w:val="000000"/>
                <w:sz w:val="24"/>
                <w:szCs w:val="24"/>
              </w:rPr>
            </w:pPr>
          </w:p>
        </w:tc>
        <w:tc>
          <w:tcPr>
            <w:tcW w:w="3077" w:type="dxa"/>
            <w:vAlign w:val="center"/>
          </w:tcPr>
          <w:p>
            <w:pPr>
              <w:rPr>
                <w:rFonts w:ascii="宋体" w:hAnsi="宋体" w:cs="宋体"/>
                <w:color w:val="000000"/>
                <w:sz w:val="24"/>
                <w:szCs w:val="24"/>
              </w:rPr>
            </w:pPr>
          </w:p>
        </w:tc>
        <w:tc>
          <w:tcPr>
            <w:tcW w:w="2307" w:type="dxa"/>
            <w:vAlign w:val="center"/>
          </w:tcPr>
          <w:p>
            <w:pPr>
              <w:rPr>
                <w:rFonts w:ascii="宋体" w:hAnsi="宋体" w:cs="宋体"/>
                <w:color w:val="000000"/>
                <w:sz w:val="24"/>
                <w:szCs w:val="24"/>
              </w:rPr>
            </w:pPr>
          </w:p>
        </w:tc>
        <w:tc>
          <w:tcPr>
            <w:tcW w:w="2755" w:type="dxa"/>
            <w:vAlign w:val="center"/>
          </w:tcPr>
          <w:p>
            <w:pPr>
              <w:rPr>
                <w:rFonts w:ascii="宋体" w:hAnsi="宋体" w:cs="宋体"/>
                <w:color w:val="000000"/>
                <w:sz w:val="24"/>
                <w:szCs w:val="24"/>
              </w:rPr>
            </w:pPr>
          </w:p>
        </w:tc>
        <w:tc>
          <w:tcPr>
            <w:tcW w:w="2808" w:type="dxa"/>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单位：公顷</w:t>
            </w:r>
          </w:p>
        </w:tc>
      </w:tr>
      <w:tr>
        <w:tblPrEx>
          <w:tblLayout w:type="fixed"/>
          <w:tblCellMar>
            <w:top w:w="15" w:type="dxa"/>
            <w:left w:w="15" w:type="dxa"/>
            <w:bottom w:w="15" w:type="dxa"/>
            <w:right w:w="15" w:type="dxa"/>
          </w:tblCellMar>
        </w:tblPrEx>
        <w:trPr>
          <w:trHeight w:val="870" w:hRule="atLeast"/>
        </w:trPr>
        <w:tc>
          <w:tcPr>
            <w:tcW w:w="1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项目总数</w:t>
            </w:r>
          </w:p>
        </w:tc>
        <w:tc>
          <w:tcPr>
            <w:tcW w:w="3077" w:type="dxa"/>
            <w:vMerge w:val="restart"/>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存量住宅用地总面积</w:t>
            </w:r>
          </w:p>
        </w:tc>
        <w:tc>
          <w:tcPr>
            <w:tcW w:w="7870" w:type="dxa"/>
            <w:gridSpan w:val="3"/>
            <w:tcBorders>
              <w:top w:val="single" w:color="000000" w:sz="4" w:space="0"/>
              <w:left w:val="nil"/>
              <w:bottom w:val="single" w:color="000000" w:sz="4" w:space="0"/>
              <w:right w:val="single" w:color="000000" w:sz="4" w:space="0"/>
            </w:tcBorders>
            <w:vAlign w:val="center"/>
          </w:tcPr>
          <w:p>
            <w:pPr>
              <w:jc w:val="center"/>
              <w:rPr>
                <w:rFonts w:ascii="宋体" w:hAnsi="宋体" w:cs="宋体"/>
                <w:b/>
                <w:color w:val="000000"/>
                <w:sz w:val="24"/>
                <w:szCs w:val="24"/>
              </w:rPr>
            </w:pPr>
          </w:p>
        </w:tc>
      </w:tr>
      <w:tr>
        <w:tblPrEx>
          <w:tblLayout w:type="fixed"/>
          <w:tblCellMar>
            <w:top w:w="15" w:type="dxa"/>
            <w:left w:w="15" w:type="dxa"/>
            <w:bottom w:w="15" w:type="dxa"/>
            <w:right w:w="15" w:type="dxa"/>
          </w:tblCellMar>
        </w:tblPrEx>
        <w:trPr>
          <w:trHeight w:val="870" w:hRule="atLeast"/>
        </w:trPr>
        <w:tc>
          <w:tcPr>
            <w:tcW w:w="1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szCs w:val="24"/>
              </w:rPr>
            </w:pPr>
          </w:p>
        </w:tc>
        <w:tc>
          <w:tcPr>
            <w:tcW w:w="30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szCs w:val="24"/>
              </w:rPr>
            </w:pPr>
          </w:p>
        </w:tc>
        <w:tc>
          <w:tcPr>
            <w:tcW w:w="230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未动工土地面积</w:t>
            </w:r>
          </w:p>
        </w:tc>
        <w:tc>
          <w:tcPr>
            <w:tcW w:w="2755" w:type="dxa"/>
            <w:vMerge w:val="restart"/>
            <w:tcBorders>
              <w:top w:val="single" w:color="000000" w:sz="4" w:space="0"/>
              <w:left w:val="single" w:color="000000" w:sz="4" w:space="0"/>
              <w:bottom w:val="single" w:color="000000" w:sz="4" w:space="0"/>
              <w:right w:val="nil"/>
            </w:tcBorders>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已动工未竣工土地面积</w:t>
            </w:r>
          </w:p>
        </w:tc>
        <w:tc>
          <w:tcPr>
            <w:tcW w:w="2808" w:type="dxa"/>
            <w:tcBorders>
              <w:top w:val="single" w:color="000000" w:sz="4" w:space="0"/>
              <w:left w:val="nil"/>
              <w:bottom w:val="single" w:color="000000" w:sz="4" w:space="0"/>
              <w:right w:val="single" w:color="000000" w:sz="4" w:space="0"/>
            </w:tcBorders>
            <w:vAlign w:val="center"/>
          </w:tcPr>
          <w:p>
            <w:pPr>
              <w:jc w:val="center"/>
              <w:rPr>
                <w:rFonts w:ascii="宋体" w:hAnsi="宋体" w:cs="宋体"/>
                <w:b/>
                <w:color w:val="000000"/>
                <w:sz w:val="24"/>
                <w:szCs w:val="24"/>
              </w:rPr>
            </w:pPr>
          </w:p>
        </w:tc>
      </w:tr>
      <w:tr>
        <w:tblPrEx>
          <w:tblLayout w:type="fixed"/>
          <w:tblCellMar>
            <w:top w:w="15" w:type="dxa"/>
            <w:left w:w="15" w:type="dxa"/>
            <w:bottom w:w="15" w:type="dxa"/>
            <w:right w:w="15" w:type="dxa"/>
          </w:tblCellMar>
        </w:tblPrEx>
        <w:trPr>
          <w:trHeight w:val="870" w:hRule="atLeast"/>
        </w:trPr>
        <w:tc>
          <w:tcPr>
            <w:tcW w:w="1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szCs w:val="24"/>
              </w:rPr>
            </w:pPr>
          </w:p>
        </w:tc>
        <w:tc>
          <w:tcPr>
            <w:tcW w:w="30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szCs w:val="24"/>
              </w:rPr>
            </w:pPr>
          </w:p>
        </w:tc>
        <w:tc>
          <w:tcPr>
            <w:tcW w:w="23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szCs w:val="24"/>
              </w:rPr>
            </w:pPr>
          </w:p>
        </w:tc>
        <w:tc>
          <w:tcPr>
            <w:tcW w:w="27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szCs w:val="24"/>
              </w:rPr>
            </w:pPr>
          </w:p>
        </w:tc>
        <w:tc>
          <w:tcPr>
            <w:tcW w:w="2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未销售土地面积</w:t>
            </w:r>
          </w:p>
        </w:tc>
      </w:tr>
      <w:tr>
        <w:tblPrEx>
          <w:tblLayout w:type="fixed"/>
          <w:tblCellMar>
            <w:top w:w="15" w:type="dxa"/>
            <w:left w:w="15" w:type="dxa"/>
            <w:bottom w:w="15" w:type="dxa"/>
            <w:right w:w="15" w:type="dxa"/>
          </w:tblCellMar>
        </w:tblPrEx>
        <w:trPr>
          <w:trHeight w:val="870" w:hRule="atLeast"/>
        </w:trPr>
        <w:tc>
          <w:tcPr>
            <w:tcW w:w="1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w:t>
            </w:r>
          </w:p>
        </w:tc>
        <w:tc>
          <w:tcPr>
            <w:tcW w:w="3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w:t>
            </w:r>
          </w:p>
        </w:tc>
        <w:tc>
          <w:tcPr>
            <w:tcW w:w="23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（3）</w:t>
            </w:r>
          </w:p>
        </w:tc>
        <w:tc>
          <w:tcPr>
            <w:tcW w:w="2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（4）</w:t>
            </w:r>
          </w:p>
        </w:tc>
        <w:tc>
          <w:tcPr>
            <w:tcW w:w="2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（5）</w:t>
            </w:r>
          </w:p>
        </w:tc>
      </w:tr>
      <w:tr>
        <w:tblPrEx>
          <w:tblLayout w:type="fixed"/>
          <w:tblCellMar>
            <w:top w:w="15" w:type="dxa"/>
            <w:left w:w="15" w:type="dxa"/>
            <w:bottom w:w="15" w:type="dxa"/>
            <w:right w:w="15" w:type="dxa"/>
          </w:tblCellMar>
        </w:tblPrEx>
        <w:trPr>
          <w:trHeight w:val="870" w:hRule="atLeast"/>
        </w:trPr>
        <w:tc>
          <w:tcPr>
            <w:tcW w:w="18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28</w:t>
            </w:r>
          </w:p>
        </w:tc>
        <w:tc>
          <w:tcPr>
            <w:tcW w:w="30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112.38</w:t>
            </w:r>
          </w:p>
        </w:tc>
        <w:tc>
          <w:tcPr>
            <w:tcW w:w="2307"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18.06</w:t>
            </w:r>
          </w:p>
        </w:tc>
        <w:tc>
          <w:tcPr>
            <w:tcW w:w="27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94.32</w:t>
            </w:r>
          </w:p>
        </w:tc>
        <w:tc>
          <w:tcPr>
            <w:tcW w:w="28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26.53</w:t>
            </w:r>
          </w:p>
        </w:tc>
      </w:tr>
      <w:tr>
        <w:tblPrEx>
          <w:tblLayout w:type="fixed"/>
          <w:tblCellMar>
            <w:top w:w="15" w:type="dxa"/>
            <w:left w:w="15" w:type="dxa"/>
            <w:bottom w:w="15" w:type="dxa"/>
            <w:right w:w="15" w:type="dxa"/>
          </w:tblCellMar>
        </w:tblPrEx>
        <w:trPr>
          <w:trHeight w:val="313" w:hRule="atLeast"/>
        </w:trPr>
        <w:tc>
          <w:tcPr>
            <w:tcW w:w="1839" w:type="dxa"/>
            <w:vAlign w:val="center"/>
          </w:tcPr>
          <w:p>
            <w:pPr>
              <w:rPr>
                <w:rFonts w:ascii="宋体" w:hAnsi="宋体" w:cs="宋体"/>
                <w:color w:val="000000"/>
                <w:sz w:val="24"/>
                <w:szCs w:val="24"/>
              </w:rPr>
            </w:pPr>
          </w:p>
        </w:tc>
        <w:tc>
          <w:tcPr>
            <w:tcW w:w="3077" w:type="dxa"/>
            <w:vAlign w:val="center"/>
          </w:tcPr>
          <w:p>
            <w:pPr>
              <w:rPr>
                <w:rFonts w:ascii="宋体" w:hAnsi="宋体" w:cs="宋体"/>
                <w:color w:val="000000"/>
                <w:sz w:val="24"/>
                <w:szCs w:val="24"/>
              </w:rPr>
            </w:pPr>
          </w:p>
        </w:tc>
        <w:tc>
          <w:tcPr>
            <w:tcW w:w="2307" w:type="dxa"/>
            <w:vAlign w:val="center"/>
          </w:tcPr>
          <w:p>
            <w:pPr>
              <w:rPr>
                <w:rFonts w:ascii="宋体" w:hAnsi="宋体" w:cs="宋体"/>
                <w:color w:val="000000"/>
                <w:sz w:val="24"/>
                <w:szCs w:val="24"/>
              </w:rPr>
            </w:pPr>
          </w:p>
        </w:tc>
        <w:tc>
          <w:tcPr>
            <w:tcW w:w="2755" w:type="dxa"/>
            <w:vAlign w:val="center"/>
          </w:tcPr>
          <w:p>
            <w:pPr>
              <w:rPr>
                <w:rFonts w:ascii="宋体" w:hAnsi="宋体" w:cs="宋体"/>
                <w:color w:val="000000"/>
                <w:sz w:val="24"/>
                <w:szCs w:val="24"/>
              </w:rPr>
            </w:pPr>
          </w:p>
        </w:tc>
        <w:tc>
          <w:tcPr>
            <w:tcW w:w="2808" w:type="dxa"/>
            <w:vAlign w:val="center"/>
          </w:tcPr>
          <w:p>
            <w:pPr>
              <w:rPr>
                <w:rFonts w:ascii="宋体" w:hAnsi="宋体" w:cs="宋体"/>
                <w:color w:val="000000"/>
                <w:sz w:val="24"/>
                <w:szCs w:val="24"/>
              </w:rPr>
            </w:pPr>
          </w:p>
        </w:tc>
      </w:tr>
      <w:tr>
        <w:tblPrEx>
          <w:tblLayout w:type="fixed"/>
          <w:tblCellMar>
            <w:top w:w="15" w:type="dxa"/>
            <w:left w:w="15" w:type="dxa"/>
            <w:bottom w:w="15" w:type="dxa"/>
            <w:right w:w="15" w:type="dxa"/>
          </w:tblCellMar>
        </w:tblPrEx>
        <w:trPr>
          <w:trHeight w:val="750" w:hRule="atLeast"/>
        </w:trPr>
        <w:tc>
          <w:tcPr>
            <w:tcW w:w="12786" w:type="dxa"/>
            <w:gridSpan w:val="5"/>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填表说明：各表项数量关系（2）=（3）+（4）,(4)≥（5）</w:t>
            </w:r>
          </w:p>
        </w:tc>
      </w:tr>
    </w:tbl>
    <w:p>
      <w:pPr>
        <w:jc w:val="center"/>
        <w:rPr>
          <w:rFonts w:ascii="仿宋_GB2312" w:eastAsia="仿宋_GB2312"/>
          <w:spacing w:val="2"/>
          <w:w w:val="90"/>
          <w:sz w:val="32"/>
          <w:szCs w:val="32"/>
        </w:rPr>
      </w:pPr>
    </w:p>
    <w:p/>
    <w:bookmarkEnd w:id="0"/>
    <w:sectPr>
      <w:headerReference r:id="rId3" w:type="default"/>
      <w:footerReference r:id="rId4" w:type="default"/>
      <w:pgSz w:w="16838" w:h="11906" w:orient="landscape"/>
      <w:pgMar w:top="1587" w:right="2098" w:bottom="1474" w:left="1984" w:header="851" w:footer="794" w:gutter="0"/>
      <w:pgNumType w:fmt="numberInDash"/>
      <w:cols w:space="72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方正小标宋简体">
    <w:altName w:val="汉仪书宋二KW"/>
    <w:panose1 w:val="00000000000000000000"/>
    <w:charset w:val="86"/>
    <w:family w:val="script"/>
    <w:pitch w:val="default"/>
    <w:sig w:usb0="00000000" w:usb1="00000000" w:usb2="00000000" w:usb3="00000000" w:csb0="00000000" w:csb1="00000000"/>
  </w:font>
  <w:font w:name="仿宋_GB2312">
    <w:altName w:val="汉仪仿宋KW"/>
    <w:panose1 w:val="02010609030101010101"/>
    <w:charset w:val="86"/>
    <w:family w:val="modern"/>
    <w:pitch w:val="default"/>
    <w:sig w:usb0="00000000" w:usb1="00000000" w:usb2="00000010"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BrQL/CtgEAAFcDAAAOAAAA&#10;ZHJzL2Uyb0RvYy54bWytU81O3DAQviPxDpbv3YRFtFG0WdQKgZBQiwQ8gNexN5b8J4/ZZF+gfQNO&#10;vfTOc+1zMPYmC4Ib6sWZ8cx8nu+byeJ8MJpsRADlbENPZiUlwnLXKrtu6MP95ZeKEojMtkw7Kxq6&#10;FUDPl8dHi97XYu46p1sRCIJYqHvf0C5GXxcF8E4YBjPnhcWgdMGwiG5YF21gPaIbXczL8mvRu9D6&#10;4LgAwNuLfZAuM76UgsdfUoKIRDcUe4v5DPlcpbNYLli9Dsx3io9tsE90YZiy+OgB6oJFRh6D+gBl&#10;FA8OnIwz7kzhpFRcZA7I5qR8x+auY15kLigO+INM8P9g+c/NbSCqbegpJZYZHNHu6c/u7/Pu329y&#10;muTpPdSYdecxLw4/3IBjnu4BLxPrQQaTvsiHYByF3h7EFUMkPBVV86oqMcQxNjmIX7yW+wDxSjhD&#10;ktHQgNPLorLNDcR96pSSXrPuUmmdJ6gt6RH1rPp2lisOIUTXNiWLvAwjTuK07z1ZcVgNI9GVa7fI&#10;s8eFaKjFjaVEX1vUO+3OZITJWI1Gwgf//TFiQ7nPhLqHQn7JwellpuOmpfV46+es1/9h+Q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BoaYJL0wAAAAUBAAAPAAAAAAAAAAEAIAAAADgAAABkcnMvZG93&#10;bnJldi54bWxQSwECFAAUAAAACACHTuJAa0C/wrYBAABXAwAADgAAAAAAAAABACAAAAA4AQAAZHJz&#10;L2Uyb0RvYy54bWxQSwUGAAAAAAYABgBZAQAAYAUAAAAA&#10;">
              <v:fill on="f" focussize="0,0"/>
              <v:stroke on="f" weight="1.25pt"/>
              <v:imagedata o:title=""/>
              <o:lock v:ext="edit" aspectratio="f"/>
              <v:textbox inset="0mm,0mm,0mm,0mm"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67BE7"/>
    <w:rsid w:val="0009403F"/>
    <w:rsid w:val="000A6831"/>
    <w:rsid w:val="0014244F"/>
    <w:rsid w:val="0021707E"/>
    <w:rsid w:val="002C237C"/>
    <w:rsid w:val="002F101C"/>
    <w:rsid w:val="00303705"/>
    <w:rsid w:val="00314922"/>
    <w:rsid w:val="004645D3"/>
    <w:rsid w:val="00525410"/>
    <w:rsid w:val="005F59FD"/>
    <w:rsid w:val="006835A5"/>
    <w:rsid w:val="006A70E3"/>
    <w:rsid w:val="00822664"/>
    <w:rsid w:val="00872B85"/>
    <w:rsid w:val="00987E01"/>
    <w:rsid w:val="00B41B6C"/>
    <w:rsid w:val="00BA0996"/>
    <w:rsid w:val="00C2285A"/>
    <w:rsid w:val="00D01FE9"/>
    <w:rsid w:val="00D40918"/>
    <w:rsid w:val="00E528BD"/>
    <w:rsid w:val="00EA10D7"/>
    <w:rsid w:val="00EC587B"/>
    <w:rsid w:val="00EE3E42"/>
    <w:rsid w:val="00EE4809"/>
    <w:rsid w:val="00F773F8"/>
    <w:rsid w:val="00F84BC9"/>
    <w:rsid w:val="2086387C"/>
    <w:rsid w:val="36AC2A65"/>
    <w:rsid w:val="6B0B74D9"/>
    <w:rsid w:val="71A1797F"/>
    <w:rsid w:val="77D67BE7"/>
    <w:rsid w:val="C3BE3E5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nt11"/>
    <w:qFormat/>
    <w:uiPriority w:val="0"/>
    <w:rPr>
      <w:rFonts w:hint="eastAsia" w:ascii="宋体" w:hAnsi="宋体" w:eastAsia="宋体" w:cs="宋体"/>
      <w:b/>
      <w:color w:val="000000"/>
      <w:sz w:val="36"/>
      <w:szCs w:val="36"/>
      <w:u w:val="single"/>
    </w:rPr>
  </w:style>
  <w:style w:type="character" w:customStyle="1" w:styleId="7">
    <w:name w:val="font31"/>
    <w:qFormat/>
    <w:uiPriority w:val="0"/>
    <w:rPr>
      <w:rFonts w:hint="eastAsia" w:ascii="宋体" w:hAnsi="宋体" w:eastAsia="宋体" w:cs="宋体"/>
      <w:b/>
      <w:color w:val="00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市国土资源局</Company>
  <Pages>5</Pages>
  <Words>390</Words>
  <Characters>2226</Characters>
  <Lines>18</Lines>
  <Paragraphs>5</Paragraphs>
  <TotalTime>0</TotalTime>
  <ScaleCrop>false</ScaleCrop>
  <LinksUpToDate>false</LinksUpToDate>
  <CharactersWithSpaces>2611</CharactersWithSpaces>
  <Application>WWO_yunpri_dist</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2021-06-23T09:30:00Z</dcterms:created>
  <dc:creator>龙+天</dc:creator>
  <cp:lastModifiedBy>涂根凤</cp:lastModifiedBy>
  <cp:lastPrinted>2021-07-01T09:20:00Z</cp:lastPrinted>
  <dcterms:modified xsi:type="dcterms:W3CDTF">2021-07-30T17:05:43Z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C6F20238CE6F41398EC3784312ED9100</vt:lpwstr>
  </property>
</Properties>
</file>