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24" w:lineRule="auto"/>
        <w:ind w:left="0" w:right="0"/>
        <w:jc w:val="center"/>
      </w:pPr>
      <w:r>
        <w:rPr>
          <w:rStyle w:val="4"/>
          <w:rFonts w:ascii="黑体" w:hAnsi="宋体" w:eastAsia="黑体" w:cs="黑体"/>
          <w:b/>
          <w:color w:val="000000"/>
          <w:sz w:val="43"/>
          <w:szCs w:val="43"/>
          <w:shd w:val="clear" w:fill="FFFFFF"/>
        </w:rPr>
        <w:t>金华市自然资源调查登记中心</w:t>
      </w:r>
      <w:r>
        <w:rPr>
          <w:rStyle w:val="4"/>
          <w:rFonts w:hint="eastAsia" w:ascii="黑体" w:hAnsi="宋体" w:eastAsia="黑体" w:cs="黑体"/>
          <w:b/>
          <w:color w:val="000000"/>
          <w:sz w:val="43"/>
          <w:szCs w:val="43"/>
          <w:shd w:val="clear" w:fill="FFFFFF"/>
        </w:rPr>
        <w:t>2020年度</w:t>
      </w:r>
    </w:p>
    <w:p>
      <w:pPr>
        <w:pStyle w:val="2"/>
        <w:keepNext w:val="0"/>
        <w:keepLines w:val="0"/>
        <w:widowControl/>
        <w:suppressLineNumbers w:val="0"/>
        <w:spacing w:before="0" w:beforeAutospacing="0" w:after="0" w:afterAutospacing="0" w:line="324" w:lineRule="auto"/>
        <w:ind w:left="0" w:right="0"/>
        <w:jc w:val="center"/>
      </w:pPr>
      <w:r>
        <w:rPr>
          <w:rStyle w:val="4"/>
          <w:rFonts w:hint="eastAsia" w:ascii="黑体" w:hAnsi="宋体" w:eastAsia="黑体" w:cs="黑体"/>
          <w:b/>
          <w:color w:val="000000"/>
          <w:sz w:val="43"/>
          <w:szCs w:val="43"/>
          <w:shd w:val="clear" w:fill="FFFFFF"/>
        </w:rPr>
        <w:t>单位决算</w:t>
      </w:r>
    </w:p>
    <w:p>
      <w:pPr>
        <w:pStyle w:val="2"/>
        <w:keepNext w:val="0"/>
        <w:keepLines w:val="0"/>
        <w:widowControl/>
        <w:suppressLineNumbers w:val="0"/>
        <w:spacing w:before="0" w:beforeAutospacing="0" w:after="0" w:afterAutospacing="0" w:line="324" w:lineRule="auto"/>
        <w:ind w:left="0" w:right="0"/>
        <w:jc w:val="center"/>
      </w:pPr>
      <w:r>
        <w:rPr>
          <w:rStyle w:val="4"/>
          <w:rFonts w:hint="eastAsia" w:ascii="黑体" w:hAnsi="宋体" w:eastAsia="黑体" w:cs="黑体"/>
          <w:b/>
          <w:color w:val="000000"/>
          <w:sz w:val="43"/>
          <w:szCs w:val="43"/>
          <w:shd w:val="clear" w:fill="FFFFFF"/>
        </w:rPr>
        <w:t>目录</w:t>
      </w:r>
    </w:p>
    <w:p>
      <w:pPr>
        <w:pStyle w:val="2"/>
        <w:keepNext w:val="0"/>
        <w:keepLines w:val="0"/>
        <w:widowControl/>
        <w:suppressLineNumbers w:val="0"/>
        <w:spacing w:before="0" w:beforeAutospacing="0" w:after="0" w:afterAutospacing="0" w:line="555" w:lineRule="atLeast"/>
        <w:ind w:left="0" w:right="0"/>
        <w:jc w:val="left"/>
      </w:pPr>
      <w:r>
        <w:rPr>
          <w:rFonts w:ascii="等线" w:hAnsi="等线" w:eastAsia="等线" w:cs="等线"/>
          <w:color w:val="000000"/>
          <w:sz w:val="22"/>
          <w:szCs w:val="22"/>
          <w:shd w:val="clear" w:fill="FFFFFF"/>
        </w:rPr>
        <w:t>一、概况...................................................................</w:t>
      </w:r>
      <w:r>
        <w:rPr>
          <w:rFonts w:hint="eastAsia" w:ascii="宋体" w:hAnsi="宋体" w:eastAsia="宋体" w:cs="宋体"/>
          <w:sz w:val="22"/>
          <w:szCs w:val="22"/>
        </w:rPr>
        <w:t>( 1 )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（一）部门（单位）职责...................................................</w:t>
      </w:r>
      <w:r>
        <w:rPr>
          <w:rFonts w:hint="eastAsia" w:ascii="宋体" w:hAnsi="宋体" w:eastAsia="宋体" w:cs="宋体"/>
          <w:sz w:val="22"/>
          <w:szCs w:val="22"/>
        </w:rPr>
        <w:t>( 1 )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（二）机构设置.........................................................</w:t>
      </w:r>
      <w:r>
        <w:rPr>
          <w:rFonts w:hint="eastAsia" w:ascii="宋体" w:hAnsi="宋体" w:eastAsia="宋体" w:cs="宋体"/>
          <w:sz w:val="22"/>
          <w:szCs w:val="22"/>
        </w:rPr>
        <w:t>( 1 )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sz w:val="22"/>
          <w:szCs w:val="22"/>
        </w:rPr>
        <w:t>二、</w:t>
      </w:r>
      <w:r>
        <w:rPr>
          <w:rFonts w:hint="eastAsia" w:ascii="宋体" w:hAnsi="宋体" w:eastAsia="宋体" w:cs="宋体"/>
          <w:color w:val="000000"/>
          <w:sz w:val="22"/>
          <w:szCs w:val="22"/>
          <w:shd w:val="clear" w:fill="FFFFFF"/>
        </w:rPr>
        <w:t>2020年度部门（单位）决算公开...........................................</w:t>
      </w:r>
      <w:r>
        <w:rPr>
          <w:rFonts w:hint="eastAsia" w:ascii="宋体" w:hAnsi="宋体" w:eastAsia="宋体" w:cs="宋体"/>
          <w:sz w:val="22"/>
          <w:szCs w:val="22"/>
        </w:rPr>
        <w:t>( 2 )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sz w:val="22"/>
          <w:szCs w:val="22"/>
          <w:shd w:val="clear" w:fill="FFFFFF"/>
        </w:rPr>
        <w:t>三、</w:t>
      </w:r>
      <w:r>
        <w:rPr>
          <w:rFonts w:hint="eastAsia" w:ascii="宋体" w:hAnsi="宋体" w:eastAsia="宋体" w:cs="宋体"/>
          <w:color w:val="000000"/>
          <w:sz w:val="22"/>
          <w:szCs w:val="22"/>
          <w:shd w:val="clear" w:fill="FFFFFF"/>
        </w:rPr>
        <w:t>2020年度部门（单位）决算情况说.........................................</w:t>
      </w:r>
      <w:r>
        <w:rPr>
          <w:rFonts w:hint="eastAsia" w:ascii="宋体" w:hAnsi="宋体" w:eastAsia="宋体" w:cs="宋体"/>
          <w:sz w:val="22"/>
          <w:szCs w:val="22"/>
        </w:rPr>
        <w:t>( 2 )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（一）收入支出决算总体情况说明.........................................</w:t>
      </w:r>
      <w:r>
        <w:rPr>
          <w:rFonts w:hint="eastAsia" w:ascii="宋体" w:hAnsi="宋体" w:eastAsia="宋体" w:cs="宋体"/>
          <w:sz w:val="22"/>
          <w:szCs w:val="22"/>
        </w:rPr>
        <w:t>( 2 )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（二）收入决算情况说明.................................................</w:t>
      </w:r>
      <w:r>
        <w:rPr>
          <w:rFonts w:hint="eastAsia" w:ascii="宋体" w:hAnsi="宋体" w:eastAsia="宋体" w:cs="宋体"/>
          <w:sz w:val="22"/>
          <w:szCs w:val="22"/>
        </w:rPr>
        <w:t>( 2 )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（三）支出决算情况说明.................................................</w:t>
      </w:r>
      <w:r>
        <w:rPr>
          <w:rFonts w:hint="eastAsia" w:ascii="宋体" w:hAnsi="宋体" w:eastAsia="宋体" w:cs="宋体"/>
          <w:sz w:val="22"/>
          <w:szCs w:val="22"/>
        </w:rPr>
        <w:t>( 2 )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（四）财政拨款收入支出决算总体情况说明.................................</w:t>
      </w:r>
      <w:r>
        <w:rPr>
          <w:rFonts w:hint="eastAsia" w:ascii="宋体" w:hAnsi="宋体" w:eastAsia="宋体" w:cs="宋体"/>
          <w:sz w:val="22"/>
          <w:szCs w:val="22"/>
        </w:rPr>
        <w:t>( 3 )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（五）一般公共预算财政拨款支出决算情况说明.............................</w:t>
      </w:r>
      <w:r>
        <w:rPr>
          <w:rFonts w:hint="eastAsia" w:ascii="宋体" w:hAnsi="宋体" w:eastAsia="宋体" w:cs="宋体"/>
          <w:sz w:val="22"/>
          <w:szCs w:val="22"/>
        </w:rPr>
        <w:t>( 3 )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（六）一般公共预算财政拨款基本支出决算情况说明.........................</w:t>
      </w:r>
      <w:r>
        <w:rPr>
          <w:rFonts w:hint="eastAsia" w:ascii="宋体" w:hAnsi="宋体" w:eastAsia="宋体" w:cs="宋体"/>
          <w:sz w:val="22"/>
          <w:szCs w:val="22"/>
        </w:rPr>
        <w:t>( 5 )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（七）政府性基金预算财政拨款支出决算总体情况说明.......................</w:t>
      </w:r>
      <w:r>
        <w:rPr>
          <w:rFonts w:hint="eastAsia" w:ascii="宋体" w:hAnsi="宋体" w:eastAsia="宋体" w:cs="宋体"/>
          <w:sz w:val="22"/>
          <w:szCs w:val="22"/>
        </w:rPr>
        <w:t>( 6 )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（八）国有资本经营预算财政拨款支出决算总体情况说明.....................</w:t>
      </w:r>
      <w:r>
        <w:rPr>
          <w:rFonts w:hint="eastAsia" w:ascii="宋体" w:hAnsi="宋体" w:eastAsia="宋体" w:cs="宋体"/>
          <w:sz w:val="22"/>
          <w:szCs w:val="22"/>
        </w:rPr>
        <w:t>( 6 )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（九）一般公共预算财政拨款“三公”经费支出决算情况说明...................</w:t>
      </w:r>
      <w:r>
        <w:rPr>
          <w:rFonts w:hint="eastAsia" w:ascii="宋体" w:hAnsi="宋体" w:eastAsia="宋体" w:cs="宋体"/>
          <w:sz w:val="22"/>
          <w:szCs w:val="22"/>
        </w:rPr>
        <w:t>( 6 )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（十）机关运行经费支出说明.............................................</w:t>
      </w:r>
      <w:r>
        <w:rPr>
          <w:rFonts w:hint="eastAsia" w:ascii="宋体" w:hAnsi="宋体" w:eastAsia="宋体" w:cs="宋体"/>
          <w:sz w:val="22"/>
          <w:szCs w:val="22"/>
        </w:rPr>
        <w:t>( 8 )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（十一）政府采购支出说明...............................................</w:t>
      </w:r>
      <w:r>
        <w:rPr>
          <w:rFonts w:hint="eastAsia" w:ascii="宋体" w:hAnsi="宋体" w:eastAsia="宋体" w:cs="宋体"/>
          <w:sz w:val="22"/>
          <w:szCs w:val="22"/>
        </w:rPr>
        <w:t>( 8 )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（十二）国有资产占有情况说明...........................................</w:t>
      </w:r>
      <w:r>
        <w:rPr>
          <w:rFonts w:hint="eastAsia" w:ascii="宋体" w:hAnsi="宋体" w:eastAsia="宋体" w:cs="宋体"/>
          <w:sz w:val="22"/>
          <w:szCs w:val="22"/>
        </w:rPr>
        <w:t>( 8 )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（十三）预算绩效情况说明...............................................</w:t>
      </w:r>
      <w:r>
        <w:rPr>
          <w:rFonts w:hint="eastAsia" w:ascii="宋体" w:hAnsi="宋体" w:eastAsia="宋体" w:cs="宋体"/>
          <w:sz w:val="22"/>
          <w:szCs w:val="22"/>
        </w:rPr>
        <w:t>( 9 )</w:t>
      </w:r>
    </w:p>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000000"/>
          <w:sz w:val="22"/>
          <w:szCs w:val="22"/>
          <w:shd w:val="clear" w:fill="FFFFFF"/>
        </w:rPr>
        <w:t>四、名词解...............................................................</w:t>
      </w:r>
      <w:r>
        <w:rPr>
          <w:rFonts w:hint="eastAsia" w:ascii="宋体" w:hAnsi="宋体" w:eastAsia="宋体" w:cs="宋体"/>
          <w:sz w:val="22"/>
          <w:szCs w:val="22"/>
        </w:rPr>
        <w:t>( 13 )</w:t>
      </w:r>
    </w:p>
    <w:p>
      <w:pPr>
        <w:pStyle w:val="2"/>
        <w:keepNext w:val="0"/>
        <w:keepLines w:val="0"/>
        <w:widowControl/>
        <w:suppressLineNumbers w:val="0"/>
      </w:pPr>
      <w:r>
        <w:rPr>
          <w:bdr w:val="none" w:color="auto" w:sz="0" w:space="0"/>
        </w:rPr>
        <w:t> </w:t>
      </w:r>
    </w:p>
    <w:p>
      <w:pPr>
        <w:pStyle w:val="2"/>
        <w:keepNext w:val="0"/>
        <w:keepLines w:val="0"/>
        <w:widowControl/>
        <w:suppressLineNumbers w:val="0"/>
      </w:pPr>
      <w:r>
        <w:rPr>
          <w:bdr w:val="none" w:color="auto" w:sz="0" w:space="0"/>
        </w:rPr>
        <w:t> </w:t>
      </w:r>
    </w:p>
    <w:p>
      <w:pPr>
        <w:pStyle w:val="2"/>
        <w:keepNext w:val="0"/>
        <w:keepLines w:val="0"/>
        <w:widowControl/>
        <w:suppressLineNumbers w:val="0"/>
        <w:spacing w:before="0" w:beforeAutospacing="0" w:after="0" w:afterAutospacing="0" w:line="324" w:lineRule="auto"/>
        <w:ind w:left="0" w:right="0" w:firstLine="600"/>
      </w:pPr>
      <w:r>
        <w:rPr>
          <w:rStyle w:val="4"/>
          <w:rFonts w:hint="eastAsia" w:ascii="黑体" w:hAnsi="宋体" w:eastAsia="黑体" w:cs="黑体"/>
          <w:b/>
          <w:color w:val="000000"/>
          <w:sz w:val="31"/>
          <w:szCs w:val="31"/>
          <w:shd w:val="clear" w:fill="FFFFFF"/>
        </w:rPr>
        <w:t>一、概况</w:t>
      </w:r>
    </w:p>
    <w:p>
      <w:pPr>
        <w:pStyle w:val="2"/>
        <w:keepNext w:val="0"/>
        <w:keepLines w:val="0"/>
        <w:widowControl/>
        <w:suppressLineNumbers w:val="0"/>
        <w:spacing w:before="0" w:beforeAutospacing="0" w:after="0" w:afterAutospacing="0" w:line="324" w:lineRule="auto"/>
        <w:ind w:left="0" w:right="0" w:firstLine="600"/>
      </w:pPr>
      <w:r>
        <w:rPr>
          <w:rStyle w:val="4"/>
          <w:rFonts w:ascii="楷体" w:hAnsi="楷体" w:eastAsia="楷体" w:cs="楷体"/>
          <w:b/>
          <w:color w:val="000000"/>
          <w:sz w:val="31"/>
          <w:szCs w:val="31"/>
          <w:shd w:val="clear" w:fill="FFFFFF"/>
        </w:rPr>
        <w:t>（一）单位职责</w:t>
      </w:r>
    </w:p>
    <w:p>
      <w:pPr>
        <w:pStyle w:val="2"/>
        <w:keepNext w:val="0"/>
        <w:keepLines w:val="0"/>
        <w:widowControl/>
        <w:suppressLineNumbers w:val="0"/>
        <w:spacing w:before="0" w:beforeAutospacing="0" w:after="0" w:afterAutospacing="0" w:line="555" w:lineRule="atLeast"/>
        <w:ind w:left="0" w:right="0" w:firstLine="645"/>
      </w:pPr>
      <w:r>
        <w:rPr>
          <w:rFonts w:ascii="仿宋_GB2312" w:eastAsia="仿宋_GB2312" w:cs="仿宋_GB2312"/>
          <w:sz w:val="31"/>
          <w:szCs w:val="31"/>
        </w:rPr>
        <w:t>1.</w:t>
      </w:r>
      <w:r>
        <w:rPr>
          <w:rFonts w:hint="eastAsia" w:ascii="仿宋_GB2312" w:eastAsia="仿宋_GB2312" w:cs="仿宋_GB2312"/>
          <w:sz w:val="31"/>
          <w:szCs w:val="31"/>
        </w:rPr>
        <w:t>参与全市自然资源调查评价、动态监测相关工作。</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2、负责自然资源和生态空间确权登记的办理工作。负责市区不动产登记确权登记的办理工作。</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3、负责市区自然资源和不动产权籍调查（测绘）的具体工作。参与指导市区自然资源和不动产权籍调查（测绘）中介机构。</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4、负责市区自然资源和不动产登记档案统一管理和登记信息公开查询。</w:t>
      </w:r>
    </w:p>
    <w:p>
      <w:pPr>
        <w:pStyle w:val="2"/>
        <w:keepNext w:val="0"/>
        <w:keepLines w:val="0"/>
        <w:widowControl/>
        <w:suppressLineNumbers w:val="0"/>
        <w:spacing w:before="0" w:beforeAutospacing="0" w:after="0" w:afterAutospacing="0" w:line="555" w:lineRule="atLeast"/>
        <w:ind w:left="0" w:right="0" w:firstLine="645"/>
        <w:jc w:val="both"/>
      </w:pPr>
      <w:r>
        <w:rPr>
          <w:rFonts w:hint="eastAsia" w:ascii="仿宋_GB2312" w:eastAsia="仿宋_GB2312" w:cs="仿宋_GB2312"/>
          <w:b w:val="0"/>
          <w:sz w:val="31"/>
          <w:szCs w:val="31"/>
        </w:rPr>
        <w:t>5、承担市区范围内自然资源和不动产权属争议调处的辅助工作.</w:t>
      </w:r>
    </w:p>
    <w:p>
      <w:pPr>
        <w:pStyle w:val="2"/>
        <w:keepNext w:val="0"/>
        <w:keepLines w:val="0"/>
        <w:widowControl/>
        <w:suppressLineNumbers w:val="0"/>
        <w:spacing w:before="0" w:beforeAutospacing="0" w:after="0" w:afterAutospacing="0" w:line="555" w:lineRule="atLeast"/>
        <w:ind w:left="0" w:right="0" w:firstLine="645"/>
        <w:jc w:val="both"/>
      </w:pPr>
      <w:r>
        <w:rPr>
          <w:rFonts w:hint="eastAsia" w:ascii="仿宋_GB2312" w:eastAsia="仿宋_GB2312" w:cs="仿宋_GB2312"/>
          <w:b w:val="0"/>
          <w:sz w:val="31"/>
          <w:szCs w:val="31"/>
        </w:rPr>
        <w:t>6、参与市区自然资源和不动产登记信息基础平台建设，按“最多跑一次”改革要求，全面推行自然资源和不动产登记“网上办、掌上办”。负责全市自然资源和不动产登记信息的汇交、分析和共享等工作。</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7、负责市区自然资源和不动产权利证书管理。</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8、参与制定自然资源和不动产登记业务标准和操作规程，参与指导全市自然资源和不动产登记业务工作。</w:t>
      </w:r>
    </w:p>
    <w:p>
      <w:pPr>
        <w:pStyle w:val="2"/>
        <w:keepNext w:val="0"/>
        <w:keepLines w:val="0"/>
        <w:widowControl/>
        <w:suppressLineNumbers w:val="0"/>
        <w:spacing w:before="0" w:beforeAutospacing="0" w:after="0" w:afterAutospacing="0" w:line="324" w:lineRule="auto"/>
        <w:ind w:left="0" w:right="0" w:firstLine="600"/>
      </w:pPr>
      <w:r>
        <w:rPr>
          <w:rFonts w:hint="eastAsia" w:ascii="仿宋_GB2312" w:eastAsia="仿宋_GB2312" w:cs="仿宋_GB2312"/>
          <w:sz w:val="31"/>
          <w:szCs w:val="31"/>
        </w:rPr>
        <w:t>9、完成金华市自然资源和规划局交办的其他任务。</w:t>
      </w:r>
    </w:p>
    <w:p>
      <w:pPr>
        <w:pStyle w:val="2"/>
        <w:keepNext w:val="0"/>
        <w:keepLines w:val="0"/>
        <w:widowControl/>
        <w:suppressLineNumbers w:val="0"/>
        <w:spacing w:before="0" w:beforeAutospacing="0" w:after="0" w:afterAutospacing="0" w:line="324" w:lineRule="auto"/>
        <w:ind w:left="0" w:right="0" w:firstLine="600"/>
      </w:pPr>
      <w:r>
        <w:rPr>
          <w:rStyle w:val="4"/>
          <w:rFonts w:hint="eastAsia" w:ascii="楷体" w:hAnsi="楷体" w:eastAsia="楷体" w:cs="楷体"/>
          <w:b/>
          <w:color w:val="000000"/>
          <w:sz w:val="31"/>
          <w:szCs w:val="31"/>
          <w:shd w:val="clear" w:fill="FFFFFF"/>
        </w:rPr>
        <w:t>（二）机构设置</w:t>
      </w:r>
    </w:p>
    <w:p>
      <w:pPr>
        <w:pStyle w:val="2"/>
        <w:keepNext w:val="0"/>
        <w:keepLines w:val="0"/>
        <w:widowControl/>
        <w:suppressLineNumbers w:val="0"/>
        <w:spacing w:before="0" w:beforeAutospacing="0" w:after="0" w:afterAutospacing="0" w:line="324" w:lineRule="auto"/>
        <w:ind w:left="0" w:right="0" w:firstLine="600"/>
      </w:pPr>
      <w:r>
        <w:rPr>
          <w:rFonts w:ascii="仿宋" w:hAnsi="仿宋" w:eastAsia="仿宋" w:cs="仿宋"/>
          <w:color w:val="000000"/>
          <w:sz w:val="31"/>
          <w:szCs w:val="31"/>
          <w:shd w:val="clear" w:fill="FFFFFF"/>
        </w:rPr>
        <w:t>从预算单位构成看，</w:t>
      </w:r>
      <w:r>
        <w:rPr>
          <w:rFonts w:hint="eastAsia" w:ascii="仿宋" w:hAnsi="仿宋" w:eastAsia="仿宋" w:cs="仿宋"/>
          <w:sz w:val="31"/>
          <w:szCs w:val="31"/>
          <w:shd w:val="clear" w:fill="FFFFFF"/>
        </w:rPr>
        <w:t>金华市自然资源调查登记中心单位</w:t>
      </w:r>
      <w:r>
        <w:rPr>
          <w:rFonts w:hint="eastAsia" w:ascii="仿宋" w:hAnsi="仿宋" w:eastAsia="仿宋" w:cs="仿宋"/>
          <w:color w:val="000000"/>
          <w:sz w:val="31"/>
          <w:szCs w:val="31"/>
          <w:shd w:val="clear" w:fill="FFFFFF"/>
        </w:rPr>
        <w:t>决算包括：局属事业单位决算。</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纳入</w:t>
      </w:r>
      <w:r>
        <w:rPr>
          <w:rFonts w:hint="eastAsia" w:ascii="仿宋" w:hAnsi="仿宋" w:eastAsia="仿宋" w:cs="仿宋"/>
          <w:sz w:val="31"/>
          <w:szCs w:val="31"/>
          <w:shd w:val="clear" w:fill="FFFFFF"/>
        </w:rPr>
        <w:t>金华市自然资源调查登记中心</w:t>
      </w:r>
      <w:r>
        <w:rPr>
          <w:rFonts w:hint="eastAsia" w:ascii="仿宋" w:hAnsi="仿宋" w:eastAsia="仿宋" w:cs="仿宋"/>
          <w:color w:val="000000"/>
          <w:sz w:val="31"/>
          <w:szCs w:val="31"/>
          <w:shd w:val="clear" w:fill="FFFFFF"/>
        </w:rPr>
        <w:t>2020年度部门决算编制范围的二级预算单位包括：无。</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从预算单位构成看，本单位内设：综合科、权调科、登记科、婺城分中心、金东分中心、开发区分中心、金华山分中心、金义都市分中心。</w:t>
      </w:r>
    </w:p>
    <w:p>
      <w:pPr>
        <w:pStyle w:val="2"/>
        <w:keepNext w:val="0"/>
        <w:keepLines w:val="0"/>
        <w:widowControl/>
        <w:suppressLineNumbers w:val="0"/>
        <w:spacing w:before="0" w:beforeAutospacing="0" w:after="0" w:afterAutospacing="0" w:line="324" w:lineRule="auto"/>
        <w:ind w:left="0" w:right="0" w:firstLine="645"/>
      </w:pPr>
      <w:r>
        <w:rPr>
          <w:rStyle w:val="4"/>
          <w:rFonts w:hint="eastAsia" w:ascii="黑体" w:hAnsi="宋体" w:eastAsia="黑体" w:cs="黑体"/>
          <w:b/>
          <w:color w:val="000000"/>
          <w:sz w:val="31"/>
          <w:szCs w:val="31"/>
          <w:shd w:val="clear" w:fill="FFFFFF"/>
        </w:rPr>
        <w:t>二、2020年度部门（单位）决算公开表</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详见附表</w:t>
      </w:r>
      <w:r>
        <w:rPr>
          <w:rFonts w:hint="eastAsia" w:ascii="仿宋_GB2312" w:eastAsia="仿宋_GB2312" w:cs="仿宋_GB2312"/>
          <w:color w:val="000000"/>
          <w:sz w:val="31"/>
          <w:szCs w:val="31"/>
          <w:shd w:val="clear" w:fill="FFFFFF"/>
        </w:rPr>
        <w:t>。</w:t>
      </w:r>
    </w:p>
    <w:p>
      <w:pPr>
        <w:pStyle w:val="2"/>
        <w:keepNext w:val="0"/>
        <w:keepLines w:val="0"/>
        <w:widowControl/>
        <w:suppressLineNumbers w:val="0"/>
        <w:spacing w:before="0" w:beforeAutospacing="0" w:after="0" w:afterAutospacing="0" w:line="324" w:lineRule="auto"/>
        <w:ind w:left="0" w:right="0" w:firstLine="645"/>
      </w:pPr>
      <w:r>
        <w:rPr>
          <w:rStyle w:val="4"/>
          <w:rFonts w:hint="eastAsia" w:ascii="黑体" w:hAnsi="宋体" w:eastAsia="黑体" w:cs="黑体"/>
          <w:b/>
          <w:sz w:val="31"/>
          <w:szCs w:val="31"/>
          <w:shd w:val="clear" w:fill="FFFFFF"/>
        </w:rPr>
        <w:t>三、</w:t>
      </w:r>
      <w:r>
        <w:rPr>
          <w:rStyle w:val="4"/>
          <w:rFonts w:hint="eastAsia" w:ascii="黑体" w:hAnsi="宋体" w:eastAsia="黑体" w:cs="黑体"/>
          <w:b/>
          <w:color w:val="000000"/>
          <w:sz w:val="31"/>
          <w:szCs w:val="31"/>
          <w:shd w:val="clear" w:fill="FFFFFF"/>
        </w:rPr>
        <w:t>2020年度部门（单位）决算情况说明</w:t>
      </w:r>
    </w:p>
    <w:p>
      <w:pPr>
        <w:pStyle w:val="2"/>
        <w:keepNext w:val="0"/>
        <w:keepLines w:val="0"/>
        <w:widowControl/>
        <w:suppressLineNumbers w:val="0"/>
        <w:spacing w:before="0" w:beforeAutospacing="0" w:after="0" w:afterAutospacing="0" w:line="324" w:lineRule="auto"/>
        <w:ind w:left="0" w:right="0" w:firstLine="600"/>
      </w:pPr>
      <w:r>
        <w:rPr>
          <w:rStyle w:val="4"/>
          <w:rFonts w:hint="eastAsia" w:ascii="楷体" w:hAnsi="楷体" w:eastAsia="楷体" w:cs="楷体"/>
          <w:b/>
          <w:color w:val="000000"/>
          <w:sz w:val="31"/>
          <w:szCs w:val="31"/>
          <w:shd w:val="clear" w:fill="FFFFFF"/>
        </w:rPr>
        <w:t>（一）收入支出决算总体情况说明</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2020年度收入总计1,449.95万元，支出总计1,449.95万元,与2019年度相比，</w:t>
      </w:r>
      <w:r>
        <w:rPr>
          <w:rFonts w:hint="eastAsia" w:ascii="仿宋_GB2312" w:eastAsia="仿宋_GB2312" w:cs="仿宋_GB2312"/>
          <w:color w:val="000000"/>
          <w:sz w:val="31"/>
          <w:szCs w:val="31"/>
          <w:shd w:val="clear" w:fill="FFFFFF"/>
        </w:rPr>
        <w:t>收、支总计</w:t>
      </w:r>
      <w:r>
        <w:rPr>
          <w:rFonts w:hint="eastAsia" w:ascii="仿宋" w:hAnsi="仿宋" w:eastAsia="仿宋" w:cs="仿宋"/>
          <w:color w:val="000000"/>
          <w:sz w:val="31"/>
          <w:szCs w:val="31"/>
          <w:shd w:val="clear" w:fill="FFFFFF"/>
        </w:rPr>
        <w:t>各减少65.34万元，下降4.31%。主要原因是：</w:t>
      </w:r>
      <w:r>
        <w:rPr>
          <w:rFonts w:hint="eastAsia" w:ascii="仿宋_GB2312" w:eastAsia="仿宋_GB2312" w:cs="仿宋_GB2312"/>
          <w:color w:val="000000"/>
          <w:sz w:val="31"/>
          <w:szCs w:val="31"/>
          <w:shd w:val="clear" w:fill="FFFFFF"/>
        </w:rPr>
        <w:t>压缩支出，</w:t>
      </w:r>
      <w:r>
        <w:rPr>
          <w:rFonts w:hint="eastAsia" w:ascii="仿宋" w:hAnsi="仿宋" w:eastAsia="仿宋" w:cs="仿宋"/>
          <w:color w:val="000000"/>
          <w:sz w:val="31"/>
          <w:szCs w:val="31"/>
          <w:shd w:val="clear" w:fill="FFFFFF"/>
        </w:rPr>
        <w:t>项目支出安排减少。</w:t>
      </w:r>
    </w:p>
    <w:p>
      <w:pPr>
        <w:pStyle w:val="2"/>
        <w:keepNext w:val="0"/>
        <w:keepLines w:val="0"/>
        <w:widowControl/>
        <w:suppressLineNumbers w:val="0"/>
        <w:spacing w:before="0" w:beforeAutospacing="0" w:after="0" w:afterAutospacing="0" w:line="324" w:lineRule="auto"/>
        <w:ind w:left="0" w:right="0" w:firstLine="600"/>
      </w:pPr>
      <w:r>
        <w:rPr>
          <w:rStyle w:val="4"/>
          <w:rFonts w:hint="eastAsia" w:ascii="楷体" w:hAnsi="楷体" w:eastAsia="楷体" w:cs="楷体"/>
          <w:b/>
          <w:color w:val="000000"/>
          <w:sz w:val="31"/>
          <w:szCs w:val="31"/>
          <w:shd w:val="clear" w:fill="FFFFFF"/>
        </w:rPr>
        <w:t>（二）收入决算情况说明</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本年收入合计1,417.09万元；包括财政拨款收入1,325.98万元（其中，一般公共预算1,325.98万元，政府性基金预算0万元,国有资本经营预算0万元），占收入合计93.57%；上级补助收入0万元，占收入合计0%；事业收入0万元，占收入合计0%；经营收入0万元，占收入合计0%；附属单位上缴收入0万元，占收入合计0%；其他收入91.1万元，占收入合计6.43%。</w:t>
      </w:r>
    </w:p>
    <w:p>
      <w:pPr>
        <w:pStyle w:val="2"/>
        <w:keepNext w:val="0"/>
        <w:keepLines w:val="0"/>
        <w:widowControl/>
        <w:suppressLineNumbers w:val="0"/>
        <w:spacing w:before="0" w:beforeAutospacing="0" w:after="0" w:afterAutospacing="0" w:line="324" w:lineRule="auto"/>
        <w:ind w:left="0" w:right="0" w:firstLine="600"/>
      </w:pPr>
      <w:r>
        <w:rPr>
          <w:rStyle w:val="4"/>
          <w:rFonts w:hint="eastAsia" w:ascii="楷体" w:hAnsi="楷体" w:eastAsia="楷体" w:cs="楷体"/>
          <w:b/>
          <w:color w:val="000000"/>
          <w:sz w:val="31"/>
          <w:szCs w:val="31"/>
          <w:shd w:val="clear" w:fill="FFFFFF"/>
        </w:rPr>
        <w:t>（三）支出决算情况说明</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本年支出合计1,417.09万元，其中基本支出1,090.51万元，占76.95%；项目支出326.57万元，占23.05%；上缴上级支出</w:t>
      </w:r>
      <w:r>
        <w:rPr>
          <w:rFonts w:hint="eastAsia" w:ascii="仿宋" w:hAnsi="仿宋" w:eastAsia="仿宋" w:cs="仿宋"/>
          <w:sz w:val="30"/>
          <w:szCs w:val="30"/>
          <w:shd w:val="clear" w:fill="FFFFFF"/>
        </w:rPr>
        <w:t>0</w:t>
      </w:r>
      <w:r>
        <w:rPr>
          <w:rFonts w:hint="eastAsia" w:ascii="仿宋" w:hAnsi="仿宋" w:eastAsia="仿宋" w:cs="仿宋"/>
          <w:color w:val="000000"/>
          <w:sz w:val="31"/>
          <w:szCs w:val="31"/>
          <w:shd w:val="clear" w:fill="FFFFFF"/>
        </w:rPr>
        <w:t>万元，占0%；经营支出0万元，占0%；对附属单位补助支出</w:t>
      </w:r>
      <w:r>
        <w:rPr>
          <w:rFonts w:hint="eastAsia" w:ascii="仿宋" w:hAnsi="仿宋" w:eastAsia="仿宋" w:cs="仿宋"/>
          <w:sz w:val="30"/>
          <w:szCs w:val="30"/>
          <w:shd w:val="clear" w:fill="FFFFFF"/>
        </w:rPr>
        <w:t>0</w:t>
      </w:r>
      <w:r>
        <w:rPr>
          <w:rFonts w:hint="eastAsia" w:ascii="仿宋" w:hAnsi="仿宋" w:eastAsia="仿宋" w:cs="仿宋"/>
          <w:color w:val="000000"/>
          <w:sz w:val="31"/>
          <w:szCs w:val="31"/>
          <w:shd w:val="clear" w:fill="FFFFFF"/>
        </w:rPr>
        <w:t>万元，占0%。</w:t>
      </w:r>
    </w:p>
    <w:p>
      <w:pPr>
        <w:pStyle w:val="2"/>
        <w:keepNext w:val="0"/>
        <w:keepLines w:val="0"/>
        <w:widowControl/>
        <w:suppressLineNumbers w:val="0"/>
        <w:spacing w:before="0" w:beforeAutospacing="0" w:after="0" w:afterAutospacing="0" w:line="324" w:lineRule="auto"/>
        <w:ind w:left="0" w:right="0" w:firstLine="600"/>
      </w:pPr>
      <w:r>
        <w:rPr>
          <w:rStyle w:val="4"/>
          <w:rFonts w:hint="eastAsia" w:ascii="楷体" w:hAnsi="楷体" w:eastAsia="楷体" w:cs="楷体"/>
          <w:b/>
          <w:color w:val="000000"/>
          <w:sz w:val="31"/>
          <w:szCs w:val="31"/>
          <w:shd w:val="clear" w:fill="FFFFFF"/>
        </w:rPr>
        <w:t>（四）财政拨款收入支出决算总体情况说明</w:t>
      </w:r>
    </w:p>
    <w:p>
      <w:pPr>
        <w:pStyle w:val="2"/>
        <w:keepNext w:val="0"/>
        <w:keepLines w:val="0"/>
        <w:widowControl/>
        <w:suppressLineNumbers w:val="0"/>
        <w:spacing w:before="0" w:beforeAutospacing="0" w:after="0" w:afterAutospacing="0" w:line="525" w:lineRule="atLeast"/>
        <w:ind w:left="0" w:right="0" w:firstLine="645"/>
      </w:pPr>
      <w:r>
        <w:rPr>
          <w:rFonts w:hint="eastAsia" w:ascii="仿宋" w:hAnsi="仿宋" w:eastAsia="仿宋" w:cs="仿宋"/>
          <w:color w:val="000000"/>
          <w:sz w:val="31"/>
          <w:szCs w:val="31"/>
          <w:shd w:val="clear" w:fill="FFFFFF"/>
        </w:rPr>
        <w:t>2020年度财政拨款收入总计1,336.05万元，支出总计1,336.05万元，与2019年相比，</w:t>
      </w:r>
      <w:r>
        <w:rPr>
          <w:rFonts w:hint="eastAsia" w:ascii="仿宋_GB2312" w:eastAsia="仿宋_GB2312" w:cs="仿宋_GB2312"/>
          <w:color w:val="000000"/>
          <w:sz w:val="31"/>
          <w:szCs w:val="31"/>
          <w:shd w:val="clear" w:fill="FFFFFF"/>
        </w:rPr>
        <w:t>财政拨款收、支总计</w:t>
      </w:r>
      <w:r>
        <w:rPr>
          <w:rFonts w:hint="eastAsia" w:ascii="仿宋" w:hAnsi="仿宋" w:eastAsia="仿宋" w:cs="仿宋"/>
          <w:color w:val="000000"/>
          <w:sz w:val="31"/>
          <w:szCs w:val="31"/>
          <w:shd w:val="clear" w:fill="FFFFFF"/>
        </w:rPr>
        <w:t>减少32.73万元，下降2.39%。主要原因是</w:t>
      </w:r>
      <w:r>
        <w:rPr>
          <w:rFonts w:hint="eastAsia" w:ascii="仿宋_GB2312" w:eastAsia="仿宋_GB2312" w:cs="仿宋_GB2312"/>
          <w:color w:val="000000"/>
          <w:sz w:val="31"/>
          <w:szCs w:val="31"/>
          <w:shd w:val="clear" w:fill="FFFFFF"/>
        </w:rPr>
        <w:t>压缩支出</w:t>
      </w:r>
      <w:r>
        <w:rPr>
          <w:rFonts w:hint="eastAsia" w:ascii="仿宋" w:hAnsi="仿宋" w:eastAsia="仿宋" w:cs="仿宋"/>
          <w:sz w:val="31"/>
          <w:szCs w:val="31"/>
          <w:shd w:val="clear" w:fill="FFFFFF"/>
        </w:rPr>
        <w:t>；</w:t>
      </w:r>
      <w:r>
        <w:rPr>
          <w:rFonts w:hint="eastAsia" w:ascii="仿宋" w:hAnsi="仿宋" w:eastAsia="仿宋" w:cs="仿宋"/>
          <w:color w:val="000000"/>
          <w:sz w:val="31"/>
          <w:szCs w:val="31"/>
          <w:shd w:val="clear" w:fill="FFFFFF"/>
        </w:rPr>
        <w:t>财政拨款支出年初预算数1408.22万元，</w:t>
      </w:r>
      <w:r>
        <w:rPr>
          <w:rFonts w:hint="eastAsia" w:ascii="仿宋" w:hAnsi="仿宋" w:eastAsia="仿宋" w:cs="仿宋"/>
          <w:sz w:val="31"/>
          <w:szCs w:val="31"/>
          <w:shd w:val="clear" w:fill="FFFFFF"/>
        </w:rPr>
        <w:t>完成年初预算的</w:t>
      </w:r>
      <w:r>
        <w:rPr>
          <w:rFonts w:hint="eastAsia" w:ascii="仿宋" w:hAnsi="仿宋" w:eastAsia="仿宋" w:cs="仿宋"/>
          <w:color w:val="000000"/>
          <w:sz w:val="31"/>
          <w:szCs w:val="31"/>
          <w:shd w:val="clear" w:fill="FFFFFF"/>
        </w:rPr>
        <w:t>94.88%</w:t>
      </w:r>
      <w:r>
        <w:rPr>
          <w:rFonts w:hint="eastAsia" w:ascii="仿宋" w:hAnsi="仿宋" w:eastAsia="仿宋" w:cs="仿宋"/>
          <w:sz w:val="31"/>
          <w:szCs w:val="31"/>
          <w:shd w:val="clear" w:fill="FFFFFF"/>
        </w:rPr>
        <w:t>，</w:t>
      </w:r>
      <w:r>
        <w:rPr>
          <w:rFonts w:hint="eastAsia" w:ascii="仿宋" w:hAnsi="仿宋" w:eastAsia="仿宋" w:cs="仿宋"/>
          <w:color w:val="000000"/>
          <w:sz w:val="31"/>
          <w:szCs w:val="31"/>
          <w:shd w:val="clear" w:fill="FFFFFF"/>
        </w:rPr>
        <w:t>主要原因是</w:t>
      </w:r>
      <w:r>
        <w:rPr>
          <w:rFonts w:hint="eastAsia" w:ascii="仿宋_GB2312" w:eastAsia="仿宋_GB2312" w:cs="仿宋_GB2312"/>
          <w:color w:val="000000"/>
          <w:sz w:val="31"/>
          <w:szCs w:val="31"/>
          <w:shd w:val="clear" w:fill="FFFFFF"/>
        </w:rPr>
        <w:t>压缩支出</w:t>
      </w:r>
      <w:r>
        <w:rPr>
          <w:rFonts w:hint="eastAsia" w:ascii="仿宋" w:hAnsi="仿宋" w:eastAsia="仿宋" w:cs="仿宋"/>
          <w:color w:val="000000"/>
          <w:sz w:val="31"/>
          <w:szCs w:val="31"/>
          <w:shd w:val="clear" w:fill="FFFFFF"/>
        </w:rPr>
        <w:t>。</w:t>
      </w:r>
    </w:p>
    <w:p>
      <w:pPr>
        <w:pStyle w:val="2"/>
        <w:keepNext w:val="0"/>
        <w:keepLines w:val="0"/>
        <w:widowControl/>
        <w:suppressLineNumbers w:val="0"/>
        <w:spacing w:before="0" w:beforeAutospacing="0" w:after="0" w:afterAutospacing="0" w:line="324" w:lineRule="auto"/>
        <w:ind w:left="0" w:right="0" w:firstLine="600"/>
      </w:pPr>
      <w:r>
        <w:rPr>
          <w:rStyle w:val="4"/>
          <w:rFonts w:hint="eastAsia" w:ascii="楷体" w:hAnsi="楷体" w:eastAsia="楷体" w:cs="楷体"/>
          <w:b/>
          <w:color w:val="000000"/>
          <w:sz w:val="31"/>
          <w:szCs w:val="31"/>
          <w:shd w:val="clear" w:fill="FFFFFF"/>
        </w:rPr>
        <w:t>（五）一般公共预算财政拨款支出决算情况说明</w:t>
      </w:r>
    </w:p>
    <w:p>
      <w:pPr>
        <w:pStyle w:val="2"/>
        <w:keepNext w:val="0"/>
        <w:keepLines w:val="0"/>
        <w:widowControl/>
        <w:suppressLineNumbers w:val="0"/>
        <w:spacing w:before="0" w:beforeAutospacing="0" w:after="0" w:afterAutospacing="0" w:line="324" w:lineRule="auto"/>
        <w:ind w:left="0" w:right="0" w:firstLine="600"/>
      </w:pPr>
      <w:r>
        <w:rPr>
          <w:rStyle w:val="4"/>
          <w:rFonts w:hint="eastAsia" w:ascii="仿宋" w:hAnsi="仿宋" w:eastAsia="仿宋" w:cs="仿宋"/>
          <w:b/>
          <w:color w:val="000000"/>
          <w:sz w:val="31"/>
          <w:szCs w:val="31"/>
          <w:shd w:val="clear" w:fill="FFFFFF"/>
        </w:rPr>
        <w:t>1.一般公共预算财政拨款支出决算总体情况。</w:t>
      </w:r>
    </w:p>
    <w:p>
      <w:pPr>
        <w:pStyle w:val="2"/>
        <w:keepNext w:val="0"/>
        <w:keepLines w:val="0"/>
        <w:widowControl/>
        <w:suppressLineNumbers w:val="0"/>
        <w:spacing w:before="0" w:beforeAutospacing="0" w:after="0" w:afterAutospacing="0" w:line="525" w:lineRule="atLeast"/>
        <w:ind w:left="0" w:right="0" w:firstLine="645"/>
      </w:pPr>
      <w:r>
        <w:rPr>
          <w:rFonts w:hint="eastAsia" w:ascii="仿宋" w:hAnsi="仿宋" w:eastAsia="仿宋" w:cs="仿宋"/>
          <w:color w:val="000000"/>
          <w:sz w:val="31"/>
          <w:szCs w:val="31"/>
          <w:shd w:val="clear" w:fill="FFFFFF"/>
        </w:rPr>
        <w:t>2020年度一般公共预算财政拨款支出1,325.98万元，占本年支出合计的93.57%。与2019年相比，一般公共预算财政拨款支出增加32.73万元，减少2.4%。主要原因是：</w:t>
      </w:r>
      <w:r>
        <w:rPr>
          <w:rFonts w:hint="eastAsia" w:ascii="仿宋_GB2312" w:eastAsia="仿宋_GB2312" w:cs="仿宋_GB2312"/>
          <w:color w:val="000000"/>
          <w:sz w:val="31"/>
          <w:szCs w:val="31"/>
          <w:shd w:val="clear" w:fill="FFFFFF"/>
        </w:rPr>
        <w:t>压缩支出</w:t>
      </w:r>
      <w:r>
        <w:rPr>
          <w:rFonts w:hint="eastAsia" w:ascii="仿宋" w:hAnsi="仿宋" w:eastAsia="仿宋" w:cs="仿宋"/>
          <w:color w:val="000000"/>
          <w:sz w:val="31"/>
          <w:szCs w:val="31"/>
          <w:shd w:val="clear" w:fill="FFFFFF"/>
        </w:rPr>
        <w:t>。</w:t>
      </w:r>
    </w:p>
    <w:p>
      <w:pPr>
        <w:pStyle w:val="2"/>
        <w:keepNext w:val="0"/>
        <w:keepLines w:val="0"/>
        <w:widowControl/>
        <w:suppressLineNumbers w:val="0"/>
        <w:spacing w:before="0" w:beforeAutospacing="0" w:after="0" w:afterAutospacing="0" w:line="324" w:lineRule="auto"/>
        <w:ind w:left="0" w:right="0" w:firstLine="600"/>
      </w:pPr>
      <w:r>
        <w:rPr>
          <w:rStyle w:val="4"/>
          <w:rFonts w:hint="eastAsia" w:ascii="仿宋" w:hAnsi="仿宋" w:eastAsia="仿宋" w:cs="仿宋"/>
          <w:b/>
          <w:color w:val="000000"/>
          <w:sz w:val="31"/>
          <w:szCs w:val="31"/>
          <w:shd w:val="clear" w:fill="FFFFFF"/>
        </w:rPr>
        <w:t>2.一般公共预算财政拨款支出决算结构情况。</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2020年度一般公共预算财政拨款支出1,325.98万元，主要用于以下方面：一般公共服务（类）支出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万元，占0%；国防（类）支出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万元,占0%；公共安全（类）支出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万元,占0%；教育（类）支出</w:t>
      </w:r>
      <w:r>
        <w:rPr>
          <w:rFonts w:hint="eastAsia" w:ascii="仿宋" w:hAnsi="仿宋" w:eastAsia="仿宋" w:cs="仿宋"/>
          <w:sz w:val="31"/>
          <w:szCs w:val="31"/>
          <w:shd w:val="clear" w:fill="FFFFFF"/>
        </w:rPr>
        <w:t>1.05</w:t>
      </w:r>
      <w:r>
        <w:rPr>
          <w:rFonts w:hint="eastAsia" w:ascii="仿宋" w:hAnsi="仿宋" w:eastAsia="仿宋" w:cs="仿宋"/>
          <w:color w:val="000000"/>
          <w:sz w:val="31"/>
          <w:szCs w:val="31"/>
          <w:shd w:val="clear" w:fill="FFFFFF"/>
        </w:rPr>
        <w:t>万元,占0.08%；科学技术（类）支出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万元,占0%；文化旅游体育与传媒（类）支出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万元,占0%；社会保障和就业（类）支出</w:t>
      </w:r>
      <w:r>
        <w:rPr>
          <w:rFonts w:hint="eastAsia" w:ascii="仿宋" w:hAnsi="仿宋" w:eastAsia="仿宋" w:cs="仿宋"/>
          <w:sz w:val="31"/>
          <w:szCs w:val="31"/>
          <w:shd w:val="clear" w:fill="FFFFFF"/>
        </w:rPr>
        <w:t>67.95</w:t>
      </w:r>
      <w:r>
        <w:rPr>
          <w:rFonts w:hint="eastAsia" w:ascii="仿宋" w:hAnsi="仿宋" w:eastAsia="仿宋" w:cs="仿宋"/>
          <w:color w:val="000000"/>
          <w:sz w:val="31"/>
          <w:szCs w:val="31"/>
          <w:shd w:val="clear" w:fill="FFFFFF"/>
        </w:rPr>
        <w:t>万元,占5.12%；卫生健康（类）支出</w:t>
      </w:r>
      <w:r>
        <w:rPr>
          <w:rFonts w:hint="eastAsia" w:ascii="仿宋" w:hAnsi="仿宋" w:eastAsia="仿宋" w:cs="仿宋"/>
          <w:sz w:val="31"/>
          <w:szCs w:val="31"/>
          <w:shd w:val="clear" w:fill="FFFFFF"/>
        </w:rPr>
        <w:t>26.52</w:t>
      </w:r>
      <w:r>
        <w:rPr>
          <w:rFonts w:hint="eastAsia" w:ascii="仿宋" w:hAnsi="仿宋" w:eastAsia="仿宋" w:cs="仿宋"/>
          <w:color w:val="000000"/>
          <w:sz w:val="31"/>
          <w:szCs w:val="31"/>
          <w:shd w:val="clear" w:fill="FFFFFF"/>
        </w:rPr>
        <w:t>万元,占2%；节能环保（类）支出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万元,占0%；城乡社区（类）支出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万元,占0%；农林水（类）支出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万元,占0%；交通运输（类）支出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万元,占0%；资源勘探工业信息等（类）支出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万元,占0%；商业服务业等（类）支出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万元,占0%；金融（类）支出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万元,占0%；援助其他地区（类）支出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万元,占0%；自然资源海洋气象等（类）支出</w:t>
      </w:r>
      <w:r>
        <w:rPr>
          <w:rFonts w:hint="eastAsia" w:ascii="仿宋" w:hAnsi="仿宋" w:eastAsia="仿宋" w:cs="仿宋"/>
          <w:sz w:val="31"/>
          <w:szCs w:val="31"/>
          <w:shd w:val="clear" w:fill="FFFFFF"/>
        </w:rPr>
        <w:t>1,162.99</w:t>
      </w:r>
      <w:r>
        <w:rPr>
          <w:rFonts w:hint="eastAsia" w:ascii="仿宋" w:hAnsi="仿宋" w:eastAsia="仿宋" w:cs="仿宋"/>
          <w:color w:val="000000"/>
          <w:sz w:val="31"/>
          <w:szCs w:val="31"/>
          <w:shd w:val="clear" w:fill="FFFFFF"/>
        </w:rPr>
        <w:t>万元,占87.71%；住房保障（类）支出</w:t>
      </w:r>
      <w:r>
        <w:rPr>
          <w:rFonts w:hint="eastAsia" w:ascii="仿宋" w:hAnsi="仿宋" w:eastAsia="仿宋" w:cs="仿宋"/>
          <w:sz w:val="31"/>
          <w:szCs w:val="31"/>
          <w:shd w:val="clear" w:fill="FFFFFF"/>
        </w:rPr>
        <w:t>67.47</w:t>
      </w:r>
      <w:r>
        <w:rPr>
          <w:rFonts w:hint="eastAsia" w:ascii="仿宋" w:hAnsi="仿宋" w:eastAsia="仿宋" w:cs="仿宋"/>
          <w:color w:val="000000"/>
          <w:sz w:val="31"/>
          <w:szCs w:val="31"/>
          <w:shd w:val="clear" w:fill="FFFFFF"/>
        </w:rPr>
        <w:t>万元,占5.09%；粮油物资储备（类）支出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万元,占0%；灾害防治及应急管理（类）支出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万元,占0%；其他（类）支出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万元,占0%；债务还本（类）支出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万元,占0%；债务付息（类）支出</w:t>
      </w:r>
      <w:r>
        <w:rPr>
          <w:rFonts w:hint="eastAsia" w:ascii="仿宋" w:hAnsi="仿宋" w:eastAsia="仿宋" w:cs="仿宋"/>
          <w:sz w:val="31"/>
          <w:szCs w:val="31"/>
          <w:shd w:val="clear" w:fill="FFFFFF"/>
        </w:rPr>
        <w:t>0</w:t>
      </w:r>
      <w:r>
        <w:rPr>
          <w:rFonts w:hint="eastAsia" w:ascii="仿宋" w:hAnsi="仿宋" w:eastAsia="仿宋" w:cs="仿宋"/>
          <w:color w:val="000000"/>
          <w:sz w:val="31"/>
          <w:szCs w:val="31"/>
          <w:shd w:val="clear" w:fill="FFFFFF"/>
        </w:rPr>
        <w:t>万元,占0%。</w:t>
      </w:r>
    </w:p>
    <w:p>
      <w:pPr>
        <w:pStyle w:val="2"/>
        <w:keepNext w:val="0"/>
        <w:keepLines w:val="0"/>
        <w:widowControl/>
        <w:suppressLineNumbers w:val="0"/>
        <w:spacing w:before="0" w:beforeAutospacing="0" w:after="0" w:afterAutospacing="0" w:line="324" w:lineRule="auto"/>
        <w:ind w:left="0" w:right="0" w:firstLine="600"/>
      </w:pPr>
      <w:r>
        <w:rPr>
          <w:rStyle w:val="4"/>
          <w:rFonts w:hint="eastAsia" w:ascii="仿宋" w:hAnsi="仿宋" w:eastAsia="仿宋" w:cs="仿宋"/>
          <w:b/>
          <w:color w:val="000000"/>
          <w:sz w:val="31"/>
          <w:szCs w:val="31"/>
          <w:shd w:val="clear" w:fill="FFFFFF"/>
        </w:rPr>
        <w:t>3.一般公共预算财政拨款支出决算具体情况。</w:t>
      </w:r>
    </w:p>
    <w:p>
      <w:pPr>
        <w:pStyle w:val="2"/>
        <w:keepNext w:val="0"/>
        <w:keepLines w:val="0"/>
        <w:widowControl/>
        <w:suppressLineNumbers w:val="0"/>
        <w:spacing w:before="0" w:beforeAutospacing="0" w:after="0" w:afterAutospacing="0" w:line="525" w:lineRule="atLeast"/>
        <w:ind w:left="0" w:right="0" w:firstLine="645"/>
      </w:pPr>
      <w:r>
        <w:rPr>
          <w:rFonts w:hint="eastAsia" w:ascii="仿宋" w:hAnsi="仿宋" w:eastAsia="仿宋" w:cs="仿宋"/>
          <w:sz w:val="31"/>
          <w:szCs w:val="31"/>
          <w:shd w:val="clear" w:fill="FFFFFF"/>
        </w:rPr>
        <w:t>2020年度</w:t>
      </w:r>
      <w:r>
        <w:rPr>
          <w:rFonts w:hint="eastAsia" w:ascii="仿宋" w:hAnsi="仿宋" w:eastAsia="仿宋" w:cs="仿宋"/>
          <w:color w:val="000000"/>
          <w:sz w:val="31"/>
          <w:szCs w:val="31"/>
          <w:shd w:val="clear" w:fill="FFFFFF"/>
        </w:rPr>
        <w:t>一般公共预算</w:t>
      </w:r>
      <w:r>
        <w:rPr>
          <w:rFonts w:hint="eastAsia" w:ascii="仿宋" w:hAnsi="仿宋" w:eastAsia="仿宋" w:cs="仿宋"/>
          <w:sz w:val="31"/>
          <w:szCs w:val="31"/>
          <w:shd w:val="clear" w:fill="FFFFFF"/>
        </w:rPr>
        <w:t>财政拨款支出年初预算为</w:t>
      </w:r>
      <w:r>
        <w:rPr>
          <w:rFonts w:hint="eastAsia" w:ascii="仿宋" w:hAnsi="仿宋" w:eastAsia="仿宋" w:cs="仿宋"/>
          <w:color w:val="000000"/>
          <w:sz w:val="31"/>
          <w:szCs w:val="31"/>
          <w:shd w:val="clear" w:fill="FFFFFF"/>
        </w:rPr>
        <w:t>1408.22</w:t>
      </w:r>
      <w:r>
        <w:rPr>
          <w:rFonts w:hint="eastAsia" w:ascii="仿宋" w:hAnsi="仿宋" w:eastAsia="仿宋" w:cs="仿宋"/>
          <w:sz w:val="31"/>
          <w:szCs w:val="31"/>
          <w:shd w:val="clear" w:fill="FFFFFF"/>
        </w:rPr>
        <w:t>万元，支出决算为</w:t>
      </w:r>
      <w:r>
        <w:rPr>
          <w:rFonts w:hint="eastAsia" w:ascii="仿宋" w:hAnsi="仿宋" w:eastAsia="仿宋" w:cs="仿宋"/>
          <w:color w:val="000000"/>
          <w:sz w:val="31"/>
          <w:szCs w:val="31"/>
          <w:shd w:val="clear" w:fill="FFFFFF"/>
        </w:rPr>
        <w:t>1,325.98万元</w:t>
      </w:r>
      <w:r>
        <w:rPr>
          <w:rFonts w:hint="eastAsia" w:ascii="仿宋" w:hAnsi="仿宋" w:eastAsia="仿宋" w:cs="仿宋"/>
          <w:sz w:val="31"/>
          <w:szCs w:val="31"/>
          <w:shd w:val="clear" w:fill="FFFFFF"/>
        </w:rPr>
        <w:t>,完成年初预算的</w:t>
      </w:r>
      <w:r>
        <w:rPr>
          <w:rFonts w:hint="eastAsia" w:ascii="仿宋" w:hAnsi="仿宋" w:eastAsia="仿宋" w:cs="仿宋"/>
          <w:color w:val="000000"/>
          <w:sz w:val="31"/>
          <w:szCs w:val="31"/>
          <w:shd w:val="clear" w:fill="FFFFFF"/>
        </w:rPr>
        <w:t>94.16%</w:t>
      </w:r>
      <w:r>
        <w:rPr>
          <w:rFonts w:hint="eastAsia" w:ascii="仿宋" w:hAnsi="仿宋" w:eastAsia="仿宋" w:cs="仿宋"/>
          <w:sz w:val="31"/>
          <w:szCs w:val="31"/>
          <w:shd w:val="clear" w:fill="FFFFFF"/>
        </w:rPr>
        <w:t>，主要原因是</w:t>
      </w:r>
      <w:r>
        <w:rPr>
          <w:rFonts w:hint="eastAsia" w:ascii="仿宋_GB2312" w:eastAsia="仿宋_GB2312" w:cs="仿宋_GB2312"/>
          <w:color w:val="000000"/>
          <w:sz w:val="31"/>
          <w:szCs w:val="31"/>
          <w:shd w:val="clear" w:fill="FFFFFF"/>
        </w:rPr>
        <w:t>压缩支出</w:t>
      </w:r>
      <w:r>
        <w:rPr>
          <w:rFonts w:hint="eastAsia" w:ascii="仿宋" w:hAnsi="仿宋" w:eastAsia="仿宋" w:cs="仿宋"/>
          <w:color w:val="000000"/>
          <w:sz w:val="31"/>
          <w:szCs w:val="31"/>
          <w:shd w:val="clear" w:fill="FFFFFF"/>
        </w:rPr>
        <w:t>。</w:t>
      </w:r>
    </w:p>
    <w:p>
      <w:pPr>
        <w:pStyle w:val="2"/>
        <w:keepNext w:val="0"/>
        <w:keepLines w:val="0"/>
        <w:widowControl/>
        <w:suppressLineNumbers w:val="0"/>
        <w:spacing w:before="0" w:beforeAutospacing="0" w:after="0" w:afterAutospacing="0" w:line="525" w:lineRule="atLeast"/>
        <w:ind w:left="0" w:right="0"/>
      </w:pPr>
      <w:r>
        <w:rPr>
          <w:rFonts w:hint="eastAsia" w:ascii="仿宋" w:hAnsi="仿宋" w:eastAsia="仿宋" w:cs="仿宋"/>
          <w:color w:val="000000"/>
          <w:sz w:val="31"/>
          <w:szCs w:val="31"/>
          <w:shd w:val="clear" w:fill="FFFFFF"/>
        </w:rPr>
        <w:t>其中：</w:t>
      </w:r>
    </w:p>
    <w:p>
      <w:pPr>
        <w:pStyle w:val="2"/>
        <w:keepNext w:val="0"/>
        <w:keepLines w:val="0"/>
        <w:widowControl/>
        <w:suppressLineNumbers w:val="0"/>
        <w:spacing w:before="0" w:beforeAutospacing="0" w:after="0" w:afterAutospacing="0" w:line="525" w:lineRule="atLeast"/>
        <w:ind w:left="0" w:right="0" w:firstLine="570"/>
      </w:pPr>
      <w:r>
        <w:rPr>
          <w:rFonts w:hint="eastAsia" w:ascii="仿宋_GB2312" w:eastAsia="仿宋_GB2312" w:cs="仿宋_GB2312"/>
          <w:color w:val="3D3D3D"/>
          <w:spacing w:val="-15"/>
          <w:sz w:val="31"/>
          <w:szCs w:val="31"/>
        </w:rPr>
        <w:t>教育支出(类）其他教育支出（款）其他教育支出（项）。</w:t>
      </w:r>
      <w:r>
        <w:rPr>
          <w:rFonts w:hint="eastAsia" w:ascii="仿宋_GB2312" w:eastAsia="仿宋_GB2312" w:cs="仿宋_GB2312"/>
          <w:sz w:val="31"/>
          <w:szCs w:val="31"/>
          <w:shd w:val="clear" w:fill="FFFFFF"/>
        </w:rPr>
        <w:t>年初预算为8.47万元，支出决算为1.05</w:t>
      </w:r>
      <w:r>
        <w:rPr>
          <w:rFonts w:hint="eastAsia" w:ascii="仿宋_GB2312" w:eastAsia="仿宋_GB2312" w:cs="仿宋_GB2312"/>
          <w:color w:val="000000"/>
          <w:sz w:val="31"/>
          <w:szCs w:val="31"/>
          <w:shd w:val="clear" w:fill="FFFFFF"/>
        </w:rPr>
        <w:t>万元</w:t>
      </w:r>
      <w:r>
        <w:rPr>
          <w:rFonts w:hint="eastAsia" w:ascii="仿宋_GB2312" w:eastAsia="仿宋_GB2312" w:cs="仿宋_GB2312"/>
          <w:sz w:val="31"/>
          <w:szCs w:val="31"/>
          <w:shd w:val="clear" w:fill="FFFFFF"/>
        </w:rPr>
        <w:t>,完成年初预算的</w:t>
      </w:r>
      <w:r>
        <w:rPr>
          <w:rFonts w:hint="eastAsia" w:ascii="仿宋_GB2312" w:eastAsia="仿宋_GB2312" w:cs="仿宋_GB2312"/>
          <w:color w:val="000000"/>
          <w:sz w:val="31"/>
          <w:szCs w:val="31"/>
          <w:shd w:val="clear" w:fill="FFFFFF"/>
        </w:rPr>
        <w:t xml:space="preserve"> 12.39%</w:t>
      </w:r>
      <w:r>
        <w:rPr>
          <w:rFonts w:hint="eastAsia" w:ascii="仿宋_GB2312" w:eastAsia="仿宋_GB2312" w:cs="仿宋_GB2312"/>
          <w:sz w:val="31"/>
          <w:szCs w:val="31"/>
          <w:shd w:val="clear" w:fill="FFFFFF"/>
        </w:rPr>
        <w:t>，</w:t>
      </w:r>
      <w:r>
        <w:rPr>
          <w:rFonts w:hint="eastAsia" w:ascii="仿宋_GB2312" w:eastAsia="仿宋_GB2312" w:cs="仿宋_GB2312"/>
          <w:color w:val="000000"/>
          <w:sz w:val="31"/>
          <w:szCs w:val="31"/>
          <w:shd w:val="clear" w:fill="FFFFFF"/>
        </w:rPr>
        <w:t>决算数小于预算数的主要原因为压缩支出。</w:t>
      </w:r>
    </w:p>
    <w:p>
      <w:pPr>
        <w:pStyle w:val="2"/>
        <w:keepNext w:val="0"/>
        <w:keepLines w:val="0"/>
        <w:widowControl/>
        <w:suppressLineNumbers w:val="0"/>
        <w:spacing w:before="0" w:beforeAutospacing="0" w:after="0" w:afterAutospacing="0" w:line="525" w:lineRule="atLeast"/>
        <w:ind w:left="0" w:right="0" w:firstLine="570"/>
      </w:pPr>
      <w:r>
        <w:rPr>
          <w:rFonts w:hint="eastAsia" w:ascii="仿宋_GB2312" w:eastAsia="仿宋_GB2312" w:cs="仿宋_GB2312"/>
          <w:color w:val="3D3D3D"/>
          <w:spacing w:val="-15"/>
          <w:sz w:val="31"/>
          <w:szCs w:val="31"/>
        </w:rPr>
        <w:t>社会保障和就业支出（类）行政事业单位离退休（款）机关事业单位基本养老保险缴费支出（项）。</w:t>
      </w:r>
      <w:r>
        <w:rPr>
          <w:rFonts w:hint="eastAsia" w:ascii="仿宋_GB2312" w:eastAsia="仿宋_GB2312" w:cs="仿宋_GB2312"/>
          <w:sz w:val="31"/>
          <w:szCs w:val="31"/>
          <w:shd w:val="clear" w:fill="FFFFFF"/>
        </w:rPr>
        <w:t>年初预算为45.43万元，支出决算为43.56</w:t>
      </w:r>
      <w:r>
        <w:rPr>
          <w:rFonts w:hint="eastAsia" w:ascii="仿宋_GB2312" w:eastAsia="仿宋_GB2312" w:cs="仿宋_GB2312"/>
          <w:color w:val="000000"/>
          <w:sz w:val="31"/>
          <w:szCs w:val="31"/>
          <w:shd w:val="clear" w:fill="FFFFFF"/>
        </w:rPr>
        <w:t>万元</w:t>
      </w:r>
      <w:r>
        <w:rPr>
          <w:rFonts w:hint="eastAsia" w:ascii="仿宋_GB2312" w:eastAsia="仿宋_GB2312" w:cs="仿宋_GB2312"/>
          <w:sz w:val="31"/>
          <w:szCs w:val="31"/>
          <w:shd w:val="clear" w:fill="FFFFFF"/>
        </w:rPr>
        <w:t>,完成年初预算的95.88</w:t>
      </w:r>
      <w:r>
        <w:rPr>
          <w:rFonts w:hint="eastAsia" w:ascii="仿宋_GB2312" w:eastAsia="仿宋_GB2312" w:cs="仿宋_GB2312"/>
          <w:color w:val="000000"/>
          <w:sz w:val="31"/>
          <w:szCs w:val="31"/>
          <w:shd w:val="clear" w:fill="FFFFFF"/>
        </w:rPr>
        <w:t xml:space="preserve"> %</w:t>
      </w:r>
      <w:r>
        <w:rPr>
          <w:rFonts w:hint="eastAsia" w:ascii="仿宋_GB2312" w:eastAsia="仿宋_GB2312" w:cs="仿宋_GB2312"/>
          <w:sz w:val="31"/>
          <w:szCs w:val="31"/>
          <w:shd w:val="clear" w:fill="FFFFFF"/>
        </w:rPr>
        <w:t>，决算数小于预算数的主要原因人员调离支出减少。</w:t>
      </w:r>
    </w:p>
    <w:p>
      <w:pPr>
        <w:pStyle w:val="2"/>
        <w:keepNext w:val="0"/>
        <w:keepLines w:val="0"/>
        <w:widowControl/>
        <w:suppressLineNumbers w:val="0"/>
        <w:spacing w:before="0" w:beforeAutospacing="0" w:after="0" w:afterAutospacing="0" w:line="525" w:lineRule="atLeast"/>
        <w:ind w:left="0" w:right="0" w:firstLine="570"/>
      </w:pPr>
      <w:r>
        <w:rPr>
          <w:rFonts w:hint="eastAsia" w:ascii="仿宋_GB2312" w:eastAsia="仿宋_GB2312" w:cs="仿宋_GB2312"/>
          <w:color w:val="3D3D3D"/>
          <w:spacing w:val="-15"/>
          <w:sz w:val="31"/>
          <w:szCs w:val="31"/>
        </w:rPr>
        <w:t>社会保障和就业支出（类）行政事业单位离退休（款）机关事业单位职业年金缴费支出（项）。</w:t>
      </w:r>
      <w:r>
        <w:rPr>
          <w:rFonts w:hint="eastAsia" w:ascii="仿宋_GB2312" w:eastAsia="仿宋_GB2312" w:cs="仿宋_GB2312"/>
          <w:sz w:val="31"/>
          <w:szCs w:val="31"/>
          <w:shd w:val="clear" w:fill="FFFFFF"/>
        </w:rPr>
        <w:t>年初预算为22.72万元，支出决算为21.78</w:t>
      </w:r>
      <w:r>
        <w:rPr>
          <w:rFonts w:hint="eastAsia" w:ascii="仿宋_GB2312" w:eastAsia="仿宋_GB2312" w:cs="仿宋_GB2312"/>
          <w:color w:val="000000"/>
          <w:sz w:val="31"/>
          <w:szCs w:val="31"/>
          <w:shd w:val="clear" w:fill="FFFFFF"/>
        </w:rPr>
        <w:t>万元</w:t>
      </w:r>
      <w:r>
        <w:rPr>
          <w:rFonts w:hint="eastAsia" w:ascii="仿宋_GB2312" w:eastAsia="仿宋_GB2312" w:cs="仿宋_GB2312"/>
          <w:sz w:val="31"/>
          <w:szCs w:val="31"/>
          <w:shd w:val="clear" w:fill="FFFFFF"/>
        </w:rPr>
        <w:t>,完成年初预算的95.86</w:t>
      </w:r>
      <w:r>
        <w:rPr>
          <w:rFonts w:hint="eastAsia" w:ascii="仿宋_GB2312" w:eastAsia="仿宋_GB2312" w:cs="仿宋_GB2312"/>
          <w:color w:val="000000"/>
          <w:sz w:val="31"/>
          <w:szCs w:val="31"/>
          <w:shd w:val="clear" w:fill="FFFFFF"/>
        </w:rPr>
        <w:t>%</w:t>
      </w:r>
      <w:r>
        <w:rPr>
          <w:rFonts w:hint="eastAsia" w:ascii="仿宋_GB2312" w:eastAsia="仿宋_GB2312" w:cs="仿宋_GB2312"/>
          <w:sz w:val="31"/>
          <w:szCs w:val="31"/>
          <w:shd w:val="clear" w:fill="FFFFFF"/>
        </w:rPr>
        <w:t>，决算数小于预算数的主要原因人员调离减少的经费。</w:t>
      </w:r>
    </w:p>
    <w:p>
      <w:pPr>
        <w:pStyle w:val="2"/>
        <w:keepNext w:val="0"/>
        <w:keepLines w:val="0"/>
        <w:widowControl/>
        <w:suppressLineNumbers w:val="0"/>
        <w:spacing w:before="0" w:beforeAutospacing="0" w:after="0" w:afterAutospacing="0" w:line="525" w:lineRule="atLeast"/>
        <w:ind w:left="0" w:right="0" w:firstLine="570"/>
      </w:pPr>
      <w:r>
        <w:rPr>
          <w:rFonts w:hint="eastAsia" w:ascii="仿宋_GB2312" w:eastAsia="仿宋_GB2312" w:cs="仿宋_GB2312"/>
          <w:color w:val="3D3D3D"/>
          <w:spacing w:val="-15"/>
          <w:sz w:val="31"/>
          <w:szCs w:val="31"/>
        </w:rPr>
        <w:t>社会保障和就业支出（类）行政事业单位养老支出（款） 其他行政事业单位养老支出（项）。</w:t>
      </w:r>
      <w:r>
        <w:rPr>
          <w:rFonts w:hint="eastAsia" w:ascii="仿宋_GB2312" w:eastAsia="仿宋_GB2312" w:cs="仿宋_GB2312"/>
          <w:sz w:val="31"/>
          <w:szCs w:val="31"/>
          <w:shd w:val="clear" w:fill="FFFFFF"/>
        </w:rPr>
        <w:t>年初预算为2.79万元，支出决算为2.6</w:t>
      </w:r>
      <w:r>
        <w:rPr>
          <w:rFonts w:hint="eastAsia" w:ascii="仿宋_GB2312" w:eastAsia="仿宋_GB2312" w:cs="仿宋_GB2312"/>
          <w:color w:val="000000"/>
          <w:sz w:val="31"/>
          <w:szCs w:val="31"/>
          <w:shd w:val="clear" w:fill="FFFFFF"/>
        </w:rPr>
        <w:t>万元</w:t>
      </w:r>
      <w:r>
        <w:rPr>
          <w:rFonts w:hint="eastAsia" w:ascii="仿宋_GB2312" w:eastAsia="仿宋_GB2312" w:cs="仿宋_GB2312"/>
          <w:sz w:val="31"/>
          <w:szCs w:val="31"/>
          <w:shd w:val="clear" w:fill="FFFFFF"/>
        </w:rPr>
        <w:t>,完成年初预算的93.19</w:t>
      </w:r>
      <w:r>
        <w:rPr>
          <w:rFonts w:hint="eastAsia" w:ascii="仿宋_GB2312" w:eastAsia="仿宋_GB2312" w:cs="仿宋_GB2312"/>
          <w:color w:val="000000"/>
          <w:sz w:val="31"/>
          <w:szCs w:val="31"/>
          <w:shd w:val="clear" w:fill="FFFFFF"/>
        </w:rPr>
        <w:t xml:space="preserve"> %</w:t>
      </w:r>
      <w:r>
        <w:rPr>
          <w:rFonts w:hint="eastAsia" w:ascii="仿宋_GB2312" w:eastAsia="仿宋_GB2312" w:cs="仿宋_GB2312"/>
          <w:sz w:val="31"/>
          <w:szCs w:val="31"/>
          <w:shd w:val="clear" w:fill="FFFFFF"/>
        </w:rPr>
        <w:t>，决算数小于预算数的主要原因人员调离减少的经费。</w:t>
      </w:r>
    </w:p>
    <w:p>
      <w:pPr>
        <w:pStyle w:val="2"/>
        <w:keepNext w:val="0"/>
        <w:keepLines w:val="0"/>
        <w:widowControl/>
        <w:suppressLineNumbers w:val="0"/>
        <w:spacing w:before="0" w:beforeAutospacing="0" w:after="0" w:afterAutospacing="0" w:line="525" w:lineRule="atLeast"/>
        <w:ind w:left="0" w:right="0" w:firstLine="570"/>
      </w:pPr>
      <w:r>
        <w:rPr>
          <w:rFonts w:hint="eastAsia" w:ascii="仿宋_GB2312" w:eastAsia="仿宋_GB2312" w:cs="仿宋_GB2312"/>
          <w:color w:val="3D3D3D"/>
          <w:spacing w:val="-15"/>
          <w:sz w:val="31"/>
          <w:szCs w:val="31"/>
        </w:rPr>
        <w:t>卫生健康支出（类）行政事业单位医疗（款）事业单位医疗（项）。</w:t>
      </w:r>
      <w:r>
        <w:rPr>
          <w:rFonts w:hint="eastAsia" w:ascii="仿宋_GB2312" w:eastAsia="仿宋_GB2312" w:cs="仿宋_GB2312"/>
          <w:sz w:val="31"/>
          <w:szCs w:val="31"/>
          <w:shd w:val="clear" w:fill="FFFFFF"/>
        </w:rPr>
        <w:t>年初预算为 26.97万元，支出决算为26.52</w:t>
      </w:r>
      <w:r>
        <w:rPr>
          <w:rFonts w:hint="eastAsia" w:ascii="仿宋_GB2312" w:eastAsia="仿宋_GB2312" w:cs="仿宋_GB2312"/>
          <w:color w:val="000000"/>
          <w:sz w:val="31"/>
          <w:szCs w:val="31"/>
          <w:shd w:val="clear" w:fill="FFFFFF"/>
        </w:rPr>
        <w:t>万元</w:t>
      </w:r>
      <w:r>
        <w:rPr>
          <w:rFonts w:hint="eastAsia" w:ascii="仿宋_GB2312" w:eastAsia="仿宋_GB2312" w:cs="仿宋_GB2312"/>
          <w:sz w:val="31"/>
          <w:szCs w:val="31"/>
          <w:shd w:val="clear" w:fill="FFFFFF"/>
        </w:rPr>
        <w:t>,完成年初预算的98.33</w:t>
      </w:r>
      <w:r>
        <w:rPr>
          <w:rFonts w:hint="eastAsia" w:ascii="仿宋_GB2312" w:eastAsia="仿宋_GB2312" w:cs="仿宋_GB2312"/>
          <w:color w:val="000000"/>
          <w:sz w:val="31"/>
          <w:szCs w:val="31"/>
          <w:shd w:val="clear" w:fill="FFFFFF"/>
        </w:rPr>
        <w:t xml:space="preserve"> %</w:t>
      </w:r>
      <w:r>
        <w:rPr>
          <w:rFonts w:hint="eastAsia" w:ascii="仿宋_GB2312" w:eastAsia="仿宋_GB2312" w:cs="仿宋_GB2312"/>
          <w:sz w:val="31"/>
          <w:szCs w:val="31"/>
          <w:shd w:val="clear" w:fill="FFFFFF"/>
        </w:rPr>
        <w:t>，决算数小于预算数的主要原因人员调离减少的经费</w:t>
      </w:r>
      <w:r>
        <w:rPr>
          <w:rFonts w:hint="eastAsia" w:ascii="仿宋_GB2312" w:eastAsia="仿宋_GB2312" w:cs="仿宋_GB2312"/>
          <w:color w:val="000000"/>
          <w:sz w:val="31"/>
          <w:szCs w:val="31"/>
          <w:shd w:val="clear" w:fill="FFFFFF"/>
        </w:rPr>
        <w:t>。</w:t>
      </w:r>
    </w:p>
    <w:p>
      <w:pPr>
        <w:pStyle w:val="2"/>
        <w:keepNext w:val="0"/>
        <w:keepLines w:val="0"/>
        <w:widowControl/>
        <w:suppressLineNumbers w:val="0"/>
        <w:spacing w:before="0" w:beforeAutospacing="0" w:after="0" w:afterAutospacing="0" w:line="525" w:lineRule="atLeast"/>
        <w:ind w:left="0" w:right="0" w:firstLine="570"/>
      </w:pPr>
      <w:r>
        <w:rPr>
          <w:rFonts w:hint="eastAsia" w:ascii="仿宋_GB2312" w:eastAsia="仿宋_GB2312" w:cs="仿宋_GB2312"/>
          <w:color w:val="000000"/>
          <w:spacing w:val="-15"/>
          <w:sz w:val="31"/>
          <w:szCs w:val="31"/>
        </w:rPr>
        <w:t>自然资源海洋气象等支出（类）自然资源事务（款）自然资源调查与确权登记（项）。</w:t>
      </w:r>
      <w:r>
        <w:rPr>
          <w:rFonts w:hint="eastAsia" w:ascii="仿宋_GB2312" w:eastAsia="仿宋_GB2312" w:cs="仿宋_GB2312"/>
          <w:sz w:val="31"/>
          <w:szCs w:val="31"/>
          <w:shd w:val="clear" w:fill="FFFFFF"/>
        </w:rPr>
        <w:t>年初预算为381.39 万元，支出决算为292.86</w:t>
      </w:r>
      <w:r>
        <w:rPr>
          <w:rFonts w:hint="eastAsia" w:ascii="仿宋_GB2312" w:eastAsia="仿宋_GB2312" w:cs="仿宋_GB2312"/>
          <w:color w:val="000000"/>
          <w:sz w:val="31"/>
          <w:szCs w:val="31"/>
          <w:shd w:val="clear" w:fill="FFFFFF"/>
        </w:rPr>
        <w:t>万元</w:t>
      </w:r>
      <w:r>
        <w:rPr>
          <w:rFonts w:hint="eastAsia" w:ascii="仿宋_GB2312" w:eastAsia="仿宋_GB2312" w:cs="仿宋_GB2312"/>
          <w:sz w:val="31"/>
          <w:szCs w:val="31"/>
          <w:shd w:val="clear" w:fill="FFFFFF"/>
        </w:rPr>
        <w:t>,完成年初预算的76.78</w:t>
      </w:r>
      <w:r>
        <w:rPr>
          <w:rFonts w:hint="eastAsia" w:ascii="仿宋_GB2312" w:eastAsia="仿宋_GB2312" w:cs="仿宋_GB2312"/>
          <w:color w:val="000000"/>
          <w:sz w:val="31"/>
          <w:szCs w:val="31"/>
          <w:shd w:val="clear" w:fill="FFFFFF"/>
        </w:rPr>
        <w:t>%</w:t>
      </w:r>
      <w:r>
        <w:rPr>
          <w:rFonts w:hint="eastAsia" w:ascii="仿宋_GB2312" w:eastAsia="仿宋_GB2312" w:cs="仿宋_GB2312"/>
          <w:sz w:val="31"/>
          <w:szCs w:val="31"/>
          <w:shd w:val="clear" w:fill="FFFFFF"/>
        </w:rPr>
        <w:t>，决算数小于预算数的主要原因</w:t>
      </w:r>
      <w:r>
        <w:rPr>
          <w:rFonts w:hint="eastAsia" w:ascii="仿宋_GB2312" w:eastAsia="仿宋_GB2312" w:cs="仿宋_GB2312"/>
          <w:color w:val="000000"/>
          <w:sz w:val="31"/>
          <w:szCs w:val="31"/>
          <w:shd w:val="clear" w:fill="FFFFFF"/>
        </w:rPr>
        <w:t>压缩支出</w:t>
      </w:r>
      <w:r>
        <w:rPr>
          <w:rFonts w:hint="eastAsia" w:ascii="仿宋_GB2312" w:eastAsia="仿宋_GB2312" w:cs="仿宋_GB2312"/>
          <w:sz w:val="31"/>
          <w:szCs w:val="31"/>
          <w:shd w:val="clear" w:fill="FFFFFF"/>
        </w:rPr>
        <w:t>。</w:t>
      </w:r>
    </w:p>
    <w:p>
      <w:pPr>
        <w:pStyle w:val="2"/>
        <w:keepNext w:val="0"/>
        <w:keepLines w:val="0"/>
        <w:widowControl/>
        <w:suppressLineNumbers w:val="0"/>
        <w:spacing w:before="0" w:beforeAutospacing="0" w:after="0" w:afterAutospacing="0" w:line="525" w:lineRule="atLeast"/>
        <w:ind w:left="0" w:right="0" w:firstLine="570"/>
      </w:pPr>
      <w:r>
        <w:rPr>
          <w:rFonts w:hint="eastAsia" w:ascii="仿宋_GB2312" w:eastAsia="仿宋_GB2312" w:cs="仿宋_GB2312"/>
          <w:color w:val="000000"/>
          <w:spacing w:val="-15"/>
          <w:sz w:val="31"/>
          <w:szCs w:val="31"/>
        </w:rPr>
        <w:t>自然资源海洋气象等支出（类）自然资源事务（款）事业运行（项）。</w:t>
      </w:r>
      <w:r>
        <w:rPr>
          <w:rFonts w:hint="eastAsia" w:ascii="仿宋_GB2312" w:eastAsia="仿宋_GB2312" w:cs="仿宋_GB2312"/>
          <w:sz w:val="31"/>
          <w:szCs w:val="31"/>
          <w:shd w:val="clear" w:fill="FFFFFF"/>
        </w:rPr>
        <w:t>年初预算为861.96万元，支出决算为</w:t>
      </w:r>
      <w:r>
        <w:rPr>
          <w:rFonts w:hint="eastAsia" w:ascii="仿宋_GB2312" w:eastAsia="仿宋_GB2312" w:cs="仿宋_GB2312"/>
          <w:color w:val="000000"/>
          <w:spacing w:val="-15"/>
          <w:sz w:val="31"/>
          <w:szCs w:val="31"/>
        </w:rPr>
        <w:t>870.13</w:t>
      </w:r>
      <w:r>
        <w:rPr>
          <w:rFonts w:hint="eastAsia" w:ascii="仿宋_GB2312" w:eastAsia="仿宋_GB2312" w:cs="仿宋_GB2312"/>
          <w:color w:val="000000"/>
          <w:sz w:val="31"/>
          <w:szCs w:val="31"/>
          <w:shd w:val="clear" w:fill="FFFFFF"/>
        </w:rPr>
        <w:t>万元</w:t>
      </w:r>
      <w:r>
        <w:rPr>
          <w:rFonts w:hint="eastAsia" w:ascii="仿宋_GB2312" w:eastAsia="仿宋_GB2312" w:cs="仿宋_GB2312"/>
          <w:sz w:val="31"/>
          <w:szCs w:val="31"/>
          <w:shd w:val="clear" w:fill="FFFFFF"/>
        </w:rPr>
        <w:t>,完成年初预算的100.94</w:t>
      </w:r>
      <w:r>
        <w:rPr>
          <w:rFonts w:hint="eastAsia" w:ascii="仿宋_GB2312" w:eastAsia="仿宋_GB2312" w:cs="仿宋_GB2312"/>
          <w:color w:val="000000"/>
          <w:sz w:val="31"/>
          <w:szCs w:val="31"/>
          <w:shd w:val="clear" w:fill="FFFFFF"/>
        </w:rPr>
        <w:t xml:space="preserve"> %</w:t>
      </w:r>
      <w:r>
        <w:rPr>
          <w:rFonts w:hint="eastAsia" w:ascii="仿宋_GB2312" w:eastAsia="仿宋_GB2312" w:cs="仿宋_GB2312"/>
          <w:sz w:val="31"/>
          <w:szCs w:val="31"/>
          <w:shd w:val="clear" w:fill="FFFFFF"/>
        </w:rPr>
        <w:t>，决算数大于预算数的主要原因追加的人员经费。  </w:t>
      </w:r>
    </w:p>
    <w:p>
      <w:pPr>
        <w:pStyle w:val="2"/>
        <w:keepNext w:val="0"/>
        <w:keepLines w:val="0"/>
        <w:widowControl/>
        <w:suppressLineNumbers w:val="0"/>
        <w:spacing w:before="0" w:beforeAutospacing="0" w:after="0" w:afterAutospacing="0" w:line="525" w:lineRule="atLeast"/>
        <w:ind w:left="0" w:right="0" w:firstLine="570"/>
      </w:pPr>
      <w:r>
        <w:rPr>
          <w:rFonts w:hint="eastAsia" w:ascii="仿宋_GB2312" w:eastAsia="仿宋_GB2312" w:cs="仿宋_GB2312"/>
          <w:color w:val="000000"/>
          <w:spacing w:val="-15"/>
          <w:sz w:val="31"/>
          <w:szCs w:val="31"/>
        </w:rPr>
        <w:t>住房保障支出（类）住房改革支出（款）住房公积金（项）</w:t>
      </w:r>
      <w:r>
        <w:rPr>
          <w:rFonts w:hint="eastAsia" w:ascii="仿宋_GB2312" w:eastAsia="仿宋_GB2312" w:cs="仿宋_GB2312"/>
          <w:sz w:val="31"/>
          <w:szCs w:val="31"/>
          <w:shd w:val="clear" w:fill="FFFFFF"/>
        </w:rPr>
        <w:t>年初预算为 58.5万元，支出决算为67.47</w:t>
      </w:r>
      <w:r>
        <w:rPr>
          <w:rFonts w:hint="eastAsia" w:ascii="仿宋_GB2312" w:eastAsia="仿宋_GB2312" w:cs="仿宋_GB2312"/>
          <w:color w:val="000000"/>
          <w:sz w:val="31"/>
          <w:szCs w:val="31"/>
          <w:shd w:val="clear" w:fill="FFFFFF"/>
        </w:rPr>
        <w:t>万元</w:t>
      </w:r>
      <w:r>
        <w:rPr>
          <w:rFonts w:hint="eastAsia" w:ascii="仿宋_GB2312" w:eastAsia="仿宋_GB2312" w:cs="仿宋_GB2312"/>
          <w:sz w:val="31"/>
          <w:szCs w:val="31"/>
          <w:shd w:val="clear" w:fill="FFFFFF"/>
        </w:rPr>
        <w:t>,完成年初预算的115.33</w:t>
      </w:r>
      <w:r>
        <w:rPr>
          <w:rFonts w:hint="eastAsia" w:ascii="仿宋_GB2312" w:eastAsia="仿宋_GB2312" w:cs="仿宋_GB2312"/>
          <w:color w:val="000000"/>
          <w:sz w:val="31"/>
          <w:szCs w:val="31"/>
          <w:shd w:val="clear" w:fill="FFFFFF"/>
        </w:rPr>
        <w:t>%</w:t>
      </w:r>
      <w:r>
        <w:rPr>
          <w:rFonts w:hint="eastAsia" w:ascii="仿宋_GB2312" w:eastAsia="仿宋_GB2312" w:cs="仿宋_GB2312"/>
          <w:sz w:val="31"/>
          <w:szCs w:val="31"/>
          <w:shd w:val="clear" w:fill="FFFFFF"/>
        </w:rPr>
        <w:t>，决算数大于预算数的主要原因追加的人员经费。</w:t>
      </w:r>
    </w:p>
    <w:p>
      <w:pPr>
        <w:pStyle w:val="2"/>
        <w:keepNext w:val="0"/>
        <w:keepLines w:val="0"/>
        <w:widowControl/>
        <w:suppressLineNumbers w:val="0"/>
        <w:spacing w:before="0" w:beforeAutospacing="0" w:after="0" w:afterAutospacing="0" w:line="324" w:lineRule="auto"/>
        <w:ind w:left="0" w:right="0" w:firstLine="600"/>
      </w:pPr>
      <w:r>
        <w:rPr>
          <w:rStyle w:val="4"/>
          <w:rFonts w:hint="eastAsia" w:ascii="楷体" w:hAnsi="楷体" w:eastAsia="楷体" w:cs="楷体"/>
          <w:b/>
          <w:color w:val="000000"/>
          <w:sz w:val="31"/>
          <w:szCs w:val="31"/>
          <w:shd w:val="clear" w:fill="FFFFFF"/>
        </w:rPr>
        <w:t>（六）一般公共预算财政拨款基本支出决算情况说明</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2020年度一般公共预算财政拨款基本支出1,033.12万元，其中：</w:t>
      </w:r>
    </w:p>
    <w:p>
      <w:pPr>
        <w:pStyle w:val="2"/>
        <w:keepNext w:val="0"/>
        <w:keepLines w:val="0"/>
        <w:widowControl/>
        <w:suppressLineNumbers w:val="0"/>
        <w:spacing w:before="0" w:beforeAutospacing="0" w:after="0" w:afterAutospacing="0" w:line="555" w:lineRule="atLeast"/>
        <w:ind w:left="0" w:right="0" w:firstLine="600"/>
      </w:pPr>
      <w:r>
        <w:rPr>
          <w:rFonts w:hint="eastAsia" w:ascii="仿宋" w:hAnsi="仿宋" w:eastAsia="仿宋" w:cs="仿宋"/>
          <w:color w:val="000000"/>
          <w:sz w:val="31"/>
          <w:szCs w:val="31"/>
          <w:shd w:val="clear" w:fill="FFFFFF"/>
        </w:rPr>
        <w:t>人员经费663.46万元，主要包括：</w:t>
      </w:r>
      <w:r>
        <w:rPr>
          <w:rFonts w:hint="eastAsia" w:ascii="仿宋_GB2312" w:eastAsia="仿宋_GB2312" w:cs="仿宋_GB2312"/>
          <w:color w:val="000000"/>
          <w:sz w:val="31"/>
          <w:szCs w:val="31"/>
          <w:shd w:val="clear" w:fill="FFFFFF"/>
        </w:rPr>
        <w:t>基本工资、津贴补贴、奖金、伙食补助费、绩效工资、机关事业单位基本养老保险缴费、职业年金缴费、职工基本医疗保险缴费、公务员医疗补助缴费、其他社会保障缴费、住房公积金、医疗费、其他工资福利支出、离休费、抚恤金、生活补助、医疗费补助、对其他个人和家庭的补助。</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公用经费369.67万元，主要包括：</w:t>
      </w:r>
      <w:r>
        <w:rPr>
          <w:rFonts w:hint="eastAsia" w:ascii="仿宋_GB2312" w:eastAsia="仿宋_GB2312" w:cs="仿宋_GB2312"/>
          <w:color w:val="000000"/>
          <w:sz w:val="31"/>
          <w:szCs w:val="31"/>
          <w:shd w:val="clear" w:fill="FFFFFF"/>
        </w:rPr>
        <w:t>办公费、印刷费、水费、电费、邮电费、物业管理费、差旅费、维修（护）费、租赁费、培训费、公务接待费、劳务费、委托业务费、工会经费、福利费、公务用车运行维护费、其他交通费用、税金及附加费用、其他商品和服务支出、办公设备购置、专用设备购置</w:t>
      </w:r>
      <w:r>
        <w:rPr>
          <w:rFonts w:hint="eastAsia" w:ascii="仿宋" w:hAnsi="仿宋" w:eastAsia="仿宋" w:cs="仿宋"/>
          <w:color w:val="000000"/>
          <w:sz w:val="31"/>
          <w:szCs w:val="31"/>
          <w:shd w:val="clear" w:fill="FFFFFF"/>
        </w:rPr>
        <w:t>。</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楷体" w:hAnsi="楷体" w:eastAsia="楷体" w:cs="楷体"/>
          <w:b/>
          <w:i w:val="0"/>
          <w:color w:val="000000"/>
          <w:sz w:val="31"/>
          <w:szCs w:val="31"/>
          <w:bdr w:val="none" w:color="auto" w:sz="0" w:space="0"/>
          <w:shd w:val="clear" w:fill="FFFFFF"/>
        </w:rPr>
        <w:t>政府性基金预算财政拨款支出决算总体情况说明</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Fonts w:hint="eastAsia" w:ascii="仿宋" w:hAnsi="仿宋" w:eastAsia="仿宋" w:cs="仿宋"/>
          <w:b w:val="0"/>
          <w:i w:val="0"/>
          <w:color w:val="000000"/>
          <w:sz w:val="31"/>
          <w:szCs w:val="31"/>
          <w:bdr w:val="none" w:color="auto" w:sz="0" w:space="0"/>
          <w:shd w:val="clear" w:fill="FFFFFF"/>
        </w:rPr>
        <w:t>本单位2020年度无政府性基金预算财政拨款收支安排，故无相关数据。</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楷体" w:hAnsi="楷体" w:eastAsia="楷体" w:cs="楷体"/>
          <w:b/>
          <w:i w:val="0"/>
          <w:color w:val="000000"/>
          <w:sz w:val="31"/>
          <w:szCs w:val="31"/>
          <w:bdr w:val="none" w:color="auto" w:sz="0" w:space="0"/>
          <w:shd w:val="clear" w:fill="FFFFFF"/>
        </w:rPr>
        <w:t>(八）国有资本经营预算财政拨款支出决算总体情况说明</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Fonts w:hint="eastAsia" w:ascii="仿宋" w:hAnsi="仿宋" w:eastAsia="仿宋" w:cs="仿宋"/>
          <w:b w:val="0"/>
          <w:i w:val="0"/>
          <w:color w:val="000000"/>
          <w:sz w:val="31"/>
          <w:szCs w:val="31"/>
          <w:bdr w:val="none" w:color="auto" w:sz="0" w:space="0"/>
          <w:shd w:val="clear" w:fill="FFFFFF"/>
        </w:rPr>
        <w:t>本单位2020年度无国有资本经营预算财政拨款收支安排，故无相关数据。</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楷体" w:hAnsi="楷体" w:eastAsia="楷体" w:cs="楷体"/>
          <w:b/>
          <w:i w:val="0"/>
          <w:color w:val="000000"/>
          <w:sz w:val="31"/>
          <w:szCs w:val="31"/>
          <w:bdr w:val="none" w:color="auto" w:sz="0" w:space="0"/>
          <w:shd w:val="clear" w:fill="FFFFFF"/>
        </w:rPr>
        <w:t>（九）一般公共预算财政拨款“三公”经费支出决算情况说明</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仿宋" w:hAnsi="仿宋" w:eastAsia="仿宋" w:cs="仿宋"/>
          <w:b/>
          <w:i w:val="0"/>
          <w:color w:val="000000"/>
          <w:sz w:val="31"/>
          <w:szCs w:val="31"/>
          <w:bdr w:val="none" w:color="auto" w:sz="0" w:space="0"/>
          <w:shd w:val="clear" w:fill="FFFFFF"/>
        </w:rPr>
        <w:t xml:space="preserve">1.“三公”经费一般公共预算财政拨款支出决算总体情况说明。 </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Fonts w:hint="eastAsia" w:ascii="仿宋" w:hAnsi="仿宋" w:eastAsia="仿宋" w:cs="仿宋"/>
          <w:b w:val="0"/>
          <w:i w:val="0"/>
          <w:color w:val="000000"/>
          <w:sz w:val="31"/>
          <w:szCs w:val="31"/>
          <w:bdr w:val="none" w:color="auto" w:sz="0" w:space="0"/>
          <w:shd w:val="clear" w:fill="FFFFFF"/>
        </w:rPr>
        <w:t>2020年度“三公”经费一般公共预算财政拨款支出预算为4.5万元，支出决算为1.9万元，完成预算的42.22%,2020年度“三公”经费支出决算数大于小于预算数的主要原因是</w:t>
      </w:r>
      <w:r>
        <w:rPr>
          <w:rFonts w:hint="eastAsia" w:ascii="仿宋_GB2312" w:hAnsi="Times New Roman" w:eastAsia="仿宋_GB2312" w:cs="仿宋_GB2312"/>
          <w:b w:val="0"/>
          <w:i w:val="0"/>
          <w:color w:val="000000"/>
          <w:sz w:val="31"/>
          <w:szCs w:val="31"/>
          <w:bdr w:val="none" w:color="auto" w:sz="0" w:space="0"/>
          <w:shd w:val="clear" w:fill="FFFFFF"/>
        </w:rPr>
        <w:t>厉行节约压缩支出</w:t>
      </w:r>
      <w:r>
        <w:rPr>
          <w:rFonts w:hint="eastAsia" w:ascii="仿宋" w:hAnsi="仿宋" w:eastAsia="仿宋" w:cs="仿宋"/>
          <w:b w:val="0"/>
          <w:i w:val="0"/>
          <w:color w:val="000000"/>
          <w:sz w:val="31"/>
          <w:szCs w:val="31"/>
          <w:bdr w:val="none" w:color="auto" w:sz="0" w:space="0"/>
          <w:shd w:val="clear" w:fill="FFFFFF"/>
        </w:rPr>
        <w:t>。</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仿宋" w:hAnsi="仿宋" w:eastAsia="仿宋" w:cs="仿宋"/>
          <w:b/>
          <w:i w:val="0"/>
          <w:color w:val="000000"/>
          <w:sz w:val="31"/>
          <w:szCs w:val="31"/>
          <w:bdr w:val="none" w:color="auto" w:sz="0" w:space="0"/>
          <w:shd w:val="clear" w:fill="FFFFFF"/>
        </w:rPr>
        <w:t>2.“三公”经费一般公共预算财政拨款支出决算具体情况说明。</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Fonts w:hint="eastAsia" w:ascii="仿宋" w:hAnsi="仿宋" w:eastAsia="仿宋" w:cs="仿宋"/>
          <w:b w:val="0"/>
          <w:i w:val="0"/>
          <w:color w:val="000000"/>
          <w:sz w:val="31"/>
          <w:szCs w:val="31"/>
          <w:bdr w:val="none" w:color="auto" w:sz="0" w:space="0"/>
          <w:shd w:val="clear" w:fill="FFFFFF"/>
        </w:rPr>
        <w:t>2020年度“三公”经费一般公共预算财政拨款支出决算中，因公出国（境）费用支出决算为0万元，占0%，与2019年度相比，增加0万元，增长0%，主要原因是</w:t>
      </w:r>
      <w:r>
        <w:rPr>
          <w:rFonts w:hint="eastAsia" w:ascii="仿宋_GB2312" w:hAnsi="Times New Roman" w:eastAsia="仿宋_GB2312" w:cs="仿宋_GB2312"/>
          <w:b w:val="0"/>
          <w:i w:val="0"/>
          <w:color w:val="000000"/>
          <w:sz w:val="31"/>
          <w:szCs w:val="31"/>
          <w:bdr w:val="none" w:color="auto" w:sz="0" w:space="0"/>
          <w:shd w:val="clear" w:fill="FFFFFF"/>
        </w:rPr>
        <w:t>未安排人员出国</w:t>
      </w:r>
      <w:r>
        <w:rPr>
          <w:rFonts w:hint="eastAsia" w:ascii="仿宋" w:hAnsi="仿宋" w:eastAsia="仿宋" w:cs="仿宋"/>
          <w:b w:val="0"/>
          <w:i w:val="0"/>
          <w:color w:val="000000"/>
          <w:sz w:val="31"/>
          <w:szCs w:val="31"/>
          <w:bdr w:val="none" w:color="auto" w:sz="0" w:space="0"/>
          <w:shd w:val="clear" w:fill="FFFFFF"/>
        </w:rPr>
        <w:t>；公务用车购置及运行维护费支出决算为1.9万元，占100%，与2019年度相比，增加0.05万元，增长2.87%，主要原因是不动产登记业务量增长外业调查测绘用车增加；公务接待费支出决算为0万元，占0%，与2019年度相比，减少0.02万元，下降100%，主要原因是</w:t>
      </w:r>
      <w:r>
        <w:rPr>
          <w:rFonts w:hint="eastAsia" w:ascii="仿宋_GB2312" w:hAnsi="Times New Roman" w:eastAsia="仿宋_GB2312" w:cs="仿宋_GB2312"/>
          <w:b w:val="0"/>
          <w:i w:val="0"/>
          <w:color w:val="000000"/>
          <w:sz w:val="31"/>
          <w:szCs w:val="31"/>
          <w:bdr w:val="none" w:color="auto" w:sz="0" w:space="0"/>
          <w:shd w:val="clear" w:fill="FFFFFF"/>
        </w:rPr>
        <w:t>厉行节约压缩支出</w:t>
      </w:r>
      <w:r>
        <w:rPr>
          <w:rFonts w:hint="eastAsia" w:ascii="仿宋" w:hAnsi="仿宋" w:eastAsia="仿宋" w:cs="仿宋"/>
          <w:b w:val="0"/>
          <w:i w:val="0"/>
          <w:color w:val="000000"/>
          <w:sz w:val="31"/>
          <w:szCs w:val="31"/>
          <w:bdr w:val="none" w:color="auto" w:sz="0" w:space="0"/>
          <w:shd w:val="clear" w:fill="FFFFFF"/>
        </w:rPr>
        <w:t>。具体情况如下：</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仿宋" w:hAnsi="仿宋" w:eastAsia="仿宋" w:cs="仿宋"/>
          <w:b/>
          <w:i w:val="0"/>
          <w:color w:val="000000"/>
          <w:sz w:val="31"/>
          <w:szCs w:val="31"/>
          <w:bdr w:val="none" w:color="auto" w:sz="0" w:space="0"/>
          <w:shd w:val="clear" w:fill="FFFFFF"/>
        </w:rPr>
        <w:t>（1）因公出国（境）费</w:t>
      </w:r>
      <w:r>
        <w:rPr>
          <w:rFonts w:hint="eastAsia" w:ascii="仿宋" w:hAnsi="仿宋" w:eastAsia="仿宋" w:cs="仿宋"/>
          <w:b w:val="0"/>
          <w:i w:val="0"/>
          <w:color w:val="000000"/>
          <w:sz w:val="31"/>
          <w:szCs w:val="31"/>
          <w:bdr w:val="none" w:color="auto" w:sz="0" w:space="0"/>
          <w:shd w:val="clear" w:fill="FFFFFF"/>
        </w:rPr>
        <w:t>预算数为0万元，支出决算为</w:t>
      </w:r>
      <w:r>
        <w:rPr>
          <w:rFonts w:hint="eastAsia" w:ascii="仿宋" w:hAnsi="仿宋" w:eastAsia="仿宋" w:cs="仿宋"/>
          <w:b w:val="0"/>
          <w:i w:val="0"/>
          <w:color w:val="000000"/>
          <w:sz w:val="30"/>
          <w:szCs w:val="30"/>
          <w:bdr w:val="none" w:color="auto" w:sz="0" w:space="0"/>
          <w:shd w:val="clear" w:fill="FFFFFF"/>
        </w:rPr>
        <w:t>0</w:t>
      </w:r>
      <w:r>
        <w:rPr>
          <w:rFonts w:hint="eastAsia" w:ascii="仿宋" w:hAnsi="仿宋" w:eastAsia="仿宋" w:cs="仿宋"/>
          <w:b w:val="0"/>
          <w:i w:val="0"/>
          <w:color w:val="000000"/>
          <w:sz w:val="31"/>
          <w:szCs w:val="31"/>
          <w:bdr w:val="none" w:color="auto" w:sz="0" w:space="0"/>
          <w:shd w:val="clear" w:fill="FFFFFF"/>
        </w:rPr>
        <w:t>万元。完成预算的0%。主要用于</w:t>
      </w:r>
      <w:r>
        <w:rPr>
          <w:rFonts w:hint="eastAsia" w:ascii="仿宋_GB2312" w:hAnsi="Times New Roman" w:eastAsia="仿宋_GB2312" w:cs="仿宋_GB2312"/>
          <w:b w:val="0"/>
          <w:i w:val="0"/>
          <w:color w:val="000000"/>
          <w:sz w:val="31"/>
          <w:szCs w:val="31"/>
          <w:bdr w:val="none" w:color="auto" w:sz="0" w:space="0"/>
          <w:shd w:val="clear" w:fill="FFFFFF"/>
        </w:rPr>
        <w:t>本单位人员公务出国（境）</w:t>
      </w:r>
      <w:r>
        <w:rPr>
          <w:rFonts w:hint="eastAsia" w:ascii="仿宋" w:hAnsi="仿宋" w:eastAsia="仿宋" w:cs="仿宋"/>
          <w:b w:val="0"/>
          <w:i w:val="0"/>
          <w:color w:val="000000"/>
          <w:sz w:val="31"/>
          <w:szCs w:val="31"/>
          <w:bdr w:val="none" w:color="auto" w:sz="0" w:space="0"/>
          <w:shd w:val="clear" w:fill="FFFFFF"/>
        </w:rPr>
        <w:t>因公业务等公务出国（境）的住宿费、国际旅费、培训费、公杂费等支出。决算数等于预算数的主要原因是未安排人员出国。全年使用一般公共预算财政拨款支出涉及因公出国(境)团组0个；累计</w:t>
      </w:r>
      <w:r>
        <w:rPr>
          <w:rFonts w:hint="eastAsia" w:ascii="仿宋" w:hAnsi="仿宋" w:eastAsia="仿宋" w:cs="仿宋"/>
          <w:b w:val="0"/>
          <w:i w:val="0"/>
          <w:color w:val="000000"/>
          <w:sz w:val="30"/>
          <w:szCs w:val="30"/>
          <w:bdr w:val="none" w:color="auto" w:sz="0" w:space="0"/>
          <w:shd w:val="clear" w:fill="FFFFFF"/>
        </w:rPr>
        <w:t>0</w:t>
      </w:r>
      <w:r>
        <w:rPr>
          <w:rFonts w:hint="eastAsia" w:ascii="仿宋" w:hAnsi="仿宋" w:eastAsia="仿宋" w:cs="仿宋"/>
          <w:b w:val="0"/>
          <w:i w:val="0"/>
          <w:color w:val="000000"/>
          <w:sz w:val="31"/>
          <w:szCs w:val="31"/>
          <w:bdr w:val="none" w:color="auto" w:sz="0" w:space="0"/>
          <w:shd w:val="clear" w:fill="FFFFFF"/>
        </w:rPr>
        <w:t>人次。开支内容包括：无。</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仿宋" w:hAnsi="仿宋" w:eastAsia="仿宋" w:cs="仿宋"/>
          <w:b/>
          <w:i w:val="0"/>
          <w:color w:val="000000"/>
          <w:sz w:val="31"/>
          <w:szCs w:val="31"/>
          <w:bdr w:val="none" w:color="auto" w:sz="0" w:space="0"/>
          <w:shd w:val="clear" w:fill="FFFFFF"/>
        </w:rPr>
        <w:t>（2）公务用车购置及运行维护费</w:t>
      </w:r>
      <w:r>
        <w:rPr>
          <w:rFonts w:hint="eastAsia" w:ascii="仿宋" w:hAnsi="仿宋" w:eastAsia="仿宋" w:cs="仿宋"/>
          <w:b w:val="0"/>
          <w:i w:val="0"/>
          <w:color w:val="000000"/>
          <w:sz w:val="31"/>
          <w:szCs w:val="31"/>
          <w:bdr w:val="none" w:color="auto" w:sz="0" w:space="0"/>
          <w:shd w:val="clear" w:fill="FFFFFF"/>
        </w:rPr>
        <w:t>预算数为4万元，支出决算为1.9万元，完成预算的47.5%。决算数小于预算数的主要原因是</w:t>
      </w:r>
      <w:r>
        <w:rPr>
          <w:rFonts w:hint="eastAsia" w:ascii="仿宋_GB2312" w:hAnsi="Times New Roman" w:eastAsia="仿宋_GB2312" w:cs="仿宋_GB2312"/>
          <w:b w:val="0"/>
          <w:i w:val="0"/>
          <w:color w:val="000000"/>
          <w:sz w:val="31"/>
          <w:szCs w:val="31"/>
          <w:bdr w:val="none" w:color="auto" w:sz="0" w:space="0"/>
          <w:shd w:val="clear" w:fill="FFFFFF"/>
        </w:rPr>
        <w:t>厉行节约压缩支出。</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仿宋" w:hAnsi="仿宋" w:eastAsia="仿宋" w:cs="仿宋"/>
          <w:b/>
          <w:i w:val="0"/>
          <w:color w:val="000000"/>
          <w:sz w:val="31"/>
          <w:szCs w:val="31"/>
          <w:bdr w:val="none" w:color="auto" w:sz="0" w:space="0"/>
          <w:shd w:val="clear" w:fill="FFFFFF"/>
        </w:rPr>
        <w:t>公务用车购置</w:t>
      </w:r>
      <w:r>
        <w:rPr>
          <w:rFonts w:hint="eastAsia" w:ascii="仿宋_GB2312" w:hAnsi="Times New Roman" w:eastAsia="仿宋_GB2312" w:cs="仿宋_GB2312"/>
          <w:b w:val="0"/>
          <w:i w:val="0"/>
          <w:color w:val="000000"/>
          <w:sz w:val="31"/>
          <w:szCs w:val="31"/>
          <w:bdr w:val="none" w:color="auto" w:sz="0" w:space="0"/>
          <w:shd w:val="clear" w:fill="FFFFFF"/>
        </w:rPr>
        <w:t>支出0万元（含购置税等附加费用），主要用于经批准购置的0辆公务用车。</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555" w:lineRule="atLeast"/>
        <w:ind w:left="720"/>
        <w:rPr>
          <w:rFonts w:hint="default" w:ascii="Times New Roman" w:hAnsi="Times New Roman" w:cs="Times New Roman"/>
          <w:b w:val="0"/>
          <w:i w:val="0"/>
          <w:color w:val="000000"/>
          <w:sz w:val="21"/>
          <w:szCs w:val="21"/>
        </w:rPr>
      </w:pPr>
      <w:r>
        <w:rPr>
          <w:rStyle w:val="4"/>
          <w:rFonts w:hint="eastAsia" w:ascii="仿宋" w:hAnsi="仿宋" w:eastAsia="仿宋" w:cs="仿宋"/>
          <w:b/>
          <w:i w:val="0"/>
          <w:color w:val="000000"/>
          <w:sz w:val="31"/>
          <w:szCs w:val="31"/>
          <w:bdr w:val="none" w:color="auto" w:sz="0" w:space="0"/>
          <w:shd w:val="clear" w:fill="FFFFFF"/>
        </w:rPr>
        <w:t>公务用车运行维护费</w:t>
      </w:r>
      <w:r>
        <w:rPr>
          <w:rFonts w:hint="eastAsia" w:ascii="仿宋" w:hAnsi="仿宋" w:eastAsia="仿宋" w:cs="仿宋"/>
          <w:b w:val="0"/>
          <w:i w:val="0"/>
          <w:color w:val="000000"/>
          <w:sz w:val="31"/>
          <w:szCs w:val="31"/>
          <w:bdr w:val="none" w:color="auto" w:sz="0" w:space="0"/>
          <w:shd w:val="clear" w:fill="FFFFFF"/>
        </w:rPr>
        <w:t>预算数为4万元，支出</w:t>
      </w:r>
      <w:r>
        <w:rPr>
          <w:rFonts w:hint="eastAsia" w:ascii="仿宋" w:hAnsi="仿宋" w:eastAsia="仿宋" w:cs="仿宋"/>
          <w:b w:val="0"/>
          <w:i w:val="0"/>
          <w:color w:val="000000"/>
          <w:sz w:val="30"/>
          <w:szCs w:val="30"/>
          <w:bdr w:val="none" w:color="auto" w:sz="0" w:space="0"/>
          <w:shd w:val="clear" w:fill="FFFFFF"/>
        </w:rPr>
        <w:t>1.9</w:t>
      </w:r>
      <w:r>
        <w:rPr>
          <w:rFonts w:hint="eastAsia" w:ascii="仿宋" w:hAnsi="仿宋" w:eastAsia="仿宋" w:cs="仿宋"/>
          <w:b w:val="0"/>
          <w:i w:val="0"/>
          <w:color w:val="000000"/>
          <w:sz w:val="31"/>
          <w:szCs w:val="31"/>
          <w:bdr w:val="none" w:color="auto" w:sz="0" w:space="0"/>
          <w:shd w:val="clear" w:fill="FFFFFF"/>
        </w:rPr>
        <w:t>万元，完成预算的47.5%。</w:t>
      </w:r>
      <w:r>
        <w:rPr>
          <w:rFonts w:hint="eastAsia" w:ascii="仿宋_GB2312" w:hAnsi="Times New Roman" w:eastAsia="仿宋_GB2312" w:cs="仿宋_GB2312"/>
          <w:b w:val="0"/>
          <w:i w:val="0"/>
          <w:color w:val="000000"/>
          <w:sz w:val="31"/>
          <w:szCs w:val="31"/>
          <w:bdr w:val="none" w:color="auto" w:sz="0" w:space="0"/>
          <w:shd w:val="clear" w:fill="FFFFFF"/>
        </w:rPr>
        <w:t>主要用于单位公车出行及外业测绘调查用车等所需的公务用车燃料费、维修费、过路过桥费、保险费、安全奖励费用等支出；</w:t>
      </w:r>
      <w:r>
        <w:rPr>
          <w:rFonts w:hint="eastAsia" w:ascii="仿宋" w:hAnsi="仿宋" w:eastAsia="仿宋" w:cs="仿宋"/>
          <w:b w:val="0"/>
          <w:i w:val="0"/>
          <w:color w:val="000000"/>
          <w:sz w:val="31"/>
          <w:szCs w:val="31"/>
          <w:bdr w:val="none" w:color="auto" w:sz="0" w:space="0"/>
          <w:shd w:val="clear" w:fill="FFFFFF"/>
        </w:rPr>
        <w:t>2020年度，单位开支一般公共预算财政拨款的公务用车保有量为</w:t>
      </w:r>
      <w:r>
        <w:rPr>
          <w:rFonts w:hint="eastAsia" w:ascii="仿宋" w:hAnsi="仿宋" w:eastAsia="仿宋" w:cs="仿宋"/>
          <w:b w:val="0"/>
          <w:i w:val="0"/>
          <w:color w:val="000000"/>
          <w:sz w:val="30"/>
          <w:szCs w:val="30"/>
          <w:bdr w:val="none" w:color="auto" w:sz="0" w:space="0"/>
          <w:shd w:val="clear" w:fill="FFFFFF"/>
        </w:rPr>
        <w:t>1</w:t>
      </w:r>
      <w:r>
        <w:rPr>
          <w:rFonts w:hint="eastAsia" w:ascii="仿宋" w:hAnsi="仿宋" w:eastAsia="仿宋" w:cs="仿宋"/>
          <w:b w:val="0"/>
          <w:i w:val="0"/>
          <w:color w:val="000000"/>
          <w:sz w:val="31"/>
          <w:szCs w:val="31"/>
          <w:bdr w:val="none" w:color="auto" w:sz="0" w:space="0"/>
          <w:shd w:val="clear" w:fill="FFFFFF"/>
        </w:rPr>
        <w:t>辆。</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555" w:lineRule="atLeast"/>
        <w:ind w:left="720"/>
        <w:rPr>
          <w:rFonts w:hint="default" w:ascii="Times New Roman" w:hAnsi="Times New Roman" w:cs="Times New Roman"/>
          <w:b w:val="0"/>
          <w:i w:val="0"/>
          <w:color w:val="000000"/>
          <w:sz w:val="21"/>
          <w:szCs w:val="21"/>
        </w:rPr>
      </w:pPr>
      <w:r>
        <w:rPr>
          <w:rStyle w:val="4"/>
          <w:rFonts w:hint="eastAsia" w:ascii="仿宋" w:hAnsi="仿宋" w:eastAsia="仿宋" w:cs="仿宋"/>
          <w:b/>
          <w:i w:val="0"/>
          <w:color w:val="000000"/>
          <w:sz w:val="31"/>
          <w:szCs w:val="31"/>
          <w:bdr w:val="none" w:color="auto" w:sz="0" w:space="0"/>
          <w:shd w:val="clear" w:fill="FFFFFF"/>
        </w:rPr>
        <w:t>（3）公务接待费</w:t>
      </w:r>
      <w:r>
        <w:rPr>
          <w:rFonts w:hint="eastAsia" w:ascii="仿宋" w:hAnsi="仿宋" w:eastAsia="仿宋" w:cs="仿宋"/>
          <w:b w:val="0"/>
          <w:i w:val="0"/>
          <w:color w:val="000000"/>
          <w:sz w:val="31"/>
          <w:szCs w:val="31"/>
          <w:bdr w:val="none" w:color="auto" w:sz="0" w:space="0"/>
          <w:shd w:val="clear" w:fill="FFFFFF"/>
        </w:rPr>
        <w:t>预算数为0.5万元，支出决算为0万元，完成预算的0%。主要用于</w:t>
      </w:r>
      <w:r>
        <w:rPr>
          <w:rFonts w:hint="eastAsia" w:ascii="仿宋_GB2312" w:hAnsi="Times New Roman" w:eastAsia="仿宋_GB2312" w:cs="仿宋_GB2312"/>
          <w:b w:val="0"/>
          <w:i w:val="0"/>
          <w:color w:val="000000"/>
          <w:sz w:val="31"/>
          <w:szCs w:val="31"/>
          <w:bdr w:val="none" w:color="auto" w:sz="0" w:space="0"/>
          <w:shd w:val="clear" w:fill="FFFFFF"/>
        </w:rPr>
        <w:t>接待省厅、县市业务单位联系工作等支出。全年使用一般公共预算财政拨款国内公务接待0批次，累计0人次。</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仿宋" w:hAnsi="仿宋" w:eastAsia="仿宋" w:cs="仿宋"/>
          <w:b/>
          <w:i w:val="0"/>
          <w:color w:val="000000"/>
          <w:sz w:val="31"/>
          <w:szCs w:val="31"/>
          <w:bdr w:val="none" w:color="auto" w:sz="0" w:space="0"/>
          <w:shd w:val="clear" w:fill="FFFFFF"/>
        </w:rPr>
        <w:t>外宾接待</w:t>
      </w:r>
      <w:r>
        <w:rPr>
          <w:rFonts w:hint="eastAsia" w:ascii="仿宋_GB2312" w:hAnsi="Times New Roman" w:eastAsia="仿宋_GB2312" w:cs="仿宋_GB2312"/>
          <w:b w:val="0"/>
          <w:i w:val="0"/>
          <w:color w:val="000000"/>
          <w:sz w:val="31"/>
          <w:szCs w:val="31"/>
          <w:bdr w:val="none" w:color="auto" w:sz="0" w:space="0"/>
          <w:shd w:val="clear" w:fill="FFFFFF"/>
        </w:rPr>
        <w:t>支出0万元，接待0人次，0批次</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仿宋" w:hAnsi="仿宋" w:eastAsia="仿宋" w:cs="仿宋"/>
          <w:b/>
          <w:i w:val="0"/>
          <w:color w:val="000000"/>
          <w:sz w:val="31"/>
          <w:szCs w:val="31"/>
          <w:bdr w:val="none" w:color="auto" w:sz="0" w:space="0"/>
          <w:shd w:val="clear" w:fill="FFFFFF"/>
        </w:rPr>
        <w:t>其他国内公务接待</w:t>
      </w:r>
      <w:r>
        <w:rPr>
          <w:rFonts w:hint="eastAsia" w:ascii="仿宋_GB2312" w:hAnsi="Times New Roman" w:eastAsia="仿宋_GB2312" w:cs="仿宋_GB2312"/>
          <w:b w:val="0"/>
          <w:i w:val="0"/>
          <w:color w:val="000000"/>
          <w:sz w:val="31"/>
          <w:szCs w:val="31"/>
          <w:bdr w:val="none" w:color="auto" w:sz="0" w:space="0"/>
          <w:shd w:val="clear" w:fill="FFFFFF"/>
        </w:rPr>
        <w:t>支出0万元，主要用于省厅、县市、其他地市等有关人员工作交流用餐。接待0人次，0批次。</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楷体" w:hAnsi="楷体" w:eastAsia="楷体" w:cs="楷体"/>
          <w:b/>
          <w:i w:val="0"/>
          <w:color w:val="000000"/>
          <w:sz w:val="31"/>
          <w:szCs w:val="31"/>
          <w:bdr w:val="none" w:color="auto" w:sz="0" w:space="0"/>
          <w:shd w:val="clear" w:fill="FFFFFF"/>
        </w:rPr>
        <w:t>（十）机关运行经费支出说明</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Fonts w:hint="eastAsia" w:ascii="仿宋" w:hAnsi="仿宋" w:eastAsia="仿宋" w:cs="仿宋"/>
          <w:b w:val="0"/>
          <w:i w:val="0"/>
          <w:color w:val="000000"/>
          <w:sz w:val="31"/>
          <w:szCs w:val="31"/>
          <w:bdr w:val="none" w:color="auto" w:sz="0" w:space="0"/>
          <w:shd w:val="clear" w:fill="FFFFFF"/>
        </w:rPr>
        <w:t>2020年度机关运行经费年初预算数为0万元，支出决算为0万元，完成年初预算的0%，决算数等于预算数的主要原因是本年度该经费未安排；比2019年度增加0万元，增长0%，主要原因是本年度该经费未安排。</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楷体" w:hAnsi="楷体" w:eastAsia="楷体" w:cs="楷体"/>
          <w:b/>
          <w:i w:val="0"/>
          <w:color w:val="000000"/>
          <w:sz w:val="31"/>
          <w:szCs w:val="31"/>
          <w:bdr w:val="none" w:color="auto" w:sz="0" w:space="0"/>
          <w:shd w:val="clear" w:fill="FFFFFF"/>
        </w:rPr>
        <w:t>（十一）政府采购支出说明</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Fonts w:hint="eastAsia" w:ascii="仿宋" w:hAnsi="仿宋" w:eastAsia="仿宋" w:cs="仿宋"/>
          <w:b w:val="0"/>
          <w:i w:val="0"/>
          <w:color w:val="000000"/>
          <w:sz w:val="31"/>
          <w:szCs w:val="31"/>
          <w:bdr w:val="none" w:color="auto" w:sz="0" w:space="0"/>
          <w:shd w:val="clear" w:fill="FFFFFF"/>
        </w:rPr>
        <w:t>2020年度政府采购支出总额94.88万元，其中：政府采购货物支出6.23万元、政府采购工程支出0万元、政府采购服务支出88.64万元。授予中小企业合同金额88.64万元，占政府采购支出总额的93.43%。其中，授予小微企业合同金额88.4万元，占政府采购支出总额的93.17%。</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楷体" w:hAnsi="楷体" w:eastAsia="楷体" w:cs="楷体"/>
          <w:b/>
          <w:i w:val="0"/>
          <w:color w:val="000000"/>
          <w:sz w:val="31"/>
          <w:szCs w:val="31"/>
          <w:bdr w:val="none" w:color="auto" w:sz="0" w:space="0"/>
          <w:shd w:val="clear" w:fill="FFFFFF"/>
        </w:rPr>
        <w:t>（十二）国有资产占有情况说明</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Fonts w:hint="eastAsia" w:ascii="仿宋" w:hAnsi="仿宋" w:eastAsia="仿宋" w:cs="仿宋"/>
          <w:b w:val="0"/>
          <w:i w:val="0"/>
          <w:color w:val="000000"/>
          <w:sz w:val="31"/>
          <w:szCs w:val="31"/>
          <w:bdr w:val="none" w:color="auto" w:sz="0" w:space="0"/>
          <w:shd w:val="clear" w:fill="FFFFFF"/>
        </w:rPr>
        <w:t>截至2020年12月31日，单位共有车辆1辆，其中，副部（省）级及以上领导用车0辆、主要领导干部用车0辆、机要通信用车0辆、应急保障用车0辆、执法执勤用车0辆、特种专业技术用车0辆、离退休干部用车0辆、其他用车1辆,其他用车主要是</w:t>
      </w:r>
      <w:r>
        <w:rPr>
          <w:rFonts w:hint="eastAsia" w:ascii="仿宋_GB2312" w:hAnsi="Times New Roman" w:eastAsia="仿宋_GB2312" w:cs="仿宋_GB2312"/>
          <w:b w:val="0"/>
          <w:i w:val="0"/>
          <w:color w:val="000000"/>
          <w:sz w:val="31"/>
          <w:szCs w:val="31"/>
          <w:bdr w:val="none" w:color="auto" w:sz="0" w:space="0"/>
          <w:shd w:val="clear" w:fill="FFFFFF"/>
        </w:rPr>
        <w:t>用于单位公车出行及外业测绘调查用车</w:t>
      </w:r>
      <w:r>
        <w:rPr>
          <w:rFonts w:hint="eastAsia" w:ascii="仿宋" w:hAnsi="仿宋" w:eastAsia="仿宋" w:cs="仿宋"/>
          <w:b w:val="0"/>
          <w:i w:val="0"/>
          <w:color w:val="000000"/>
          <w:sz w:val="31"/>
          <w:szCs w:val="31"/>
          <w:bdr w:val="none" w:color="auto" w:sz="0" w:space="0"/>
          <w:shd w:val="clear" w:fill="FFFFFF"/>
        </w:rPr>
        <w:t>；单价50万元以上通用设备0台（套），单价100万元以上专用设备0台（套）。</w:t>
      </w:r>
      <w:r>
        <w:rPr>
          <w:rFonts w:hint="eastAsia" w:ascii="仿宋_GB2312" w:hAnsi="Times New Roman" w:eastAsia="仿宋_GB2312" w:cs="仿宋_GB2312"/>
          <w:b w:val="0"/>
          <w:i w:val="0"/>
          <w:color w:val="000000"/>
          <w:sz w:val="31"/>
          <w:szCs w:val="31"/>
          <w:bdr w:val="none" w:color="auto" w:sz="0" w:space="0"/>
          <w:shd w:val="clear" w:fill="FFFFFF"/>
        </w:rPr>
        <w:t xml:space="preserve"> </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楷体" w:hAnsi="楷体" w:eastAsia="楷体" w:cs="楷体"/>
          <w:b/>
          <w:i w:val="0"/>
          <w:color w:val="000000"/>
          <w:sz w:val="31"/>
          <w:szCs w:val="31"/>
          <w:bdr w:val="none" w:color="auto" w:sz="0" w:space="0"/>
          <w:shd w:val="clear" w:fill="FFFFFF"/>
        </w:rPr>
        <w:t>（十三）预算绩效情况说明</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仿宋" w:hAnsi="仿宋" w:eastAsia="仿宋" w:cs="仿宋"/>
          <w:b/>
          <w:i w:val="0"/>
          <w:color w:val="000000"/>
          <w:sz w:val="31"/>
          <w:szCs w:val="31"/>
          <w:bdr w:val="none" w:color="auto" w:sz="0" w:space="0"/>
          <w:shd w:val="clear" w:fill="FFFFFF"/>
        </w:rPr>
        <w:t>1.预算绩效管理工作开展情况。</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555" w:lineRule="atLeast"/>
        <w:ind w:left="720"/>
        <w:rPr>
          <w:rFonts w:hint="default" w:ascii="Times New Roman" w:hAnsi="Times New Roman" w:cs="Times New Roman"/>
          <w:b w:val="0"/>
          <w:i w:val="0"/>
          <w:color w:val="000000"/>
          <w:sz w:val="21"/>
          <w:szCs w:val="21"/>
        </w:rPr>
      </w:pPr>
      <w:r>
        <w:rPr>
          <w:rFonts w:hint="eastAsia" w:ascii="仿宋_GB2312" w:hAnsi="Times New Roman" w:eastAsia="仿宋_GB2312" w:cs="仿宋_GB2312"/>
          <w:b w:val="0"/>
          <w:i w:val="0"/>
          <w:color w:val="000000"/>
          <w:sz w:val="31"/>
          <w:szCs w:val="31"/>
          <w:bdr w:val="none" w:color="auto" w:sz="0" w:space="0"/>
        </w:rPr>
        <w:t>根据预算绩效管理要求，金华市自然资源调查登记中心组织对2020年度不动产登记数字电路光纤租用等5个一般公共预算项目支出全面开展绩效自评，其中，一级项目1 个，二级项目5 个，共涉及资金292.86万元，</w:t>
      </w:r>
      <w:r>
        <w:rPr>
          <w:rFonts w:hint="eastAsia" w:ascii="仿宋" w:hAnsi="仿宋" w:eastAsia="仿宋" w:cs="仿宋"/>
          <w:b w:val="0"/>
          <w:i w:val="0"/>
          <w:color w:val="000000"/>
          <w:sz w:val="31"/>
          <w:szCs w:val="31"/>
          <w:bdr w:val="none" w:color="auto" w:sz="0" w:space="0"/>
          <w:shd w:val="clear" w:fill="FFFFFF"/>
        </w:rPr>
        <w:t>占一般公共预算项目支出总额的100%。本年无政府性基金预算项目。</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555" w:lineRule="atLeast"/>
        <w:ind w:left="720"/>
        <w:rPr>
          <w:rFonts w:hint="default" w:ascii="Times New Roman" w:hAnsi="Times New Roman" w:cs="Times New Roman"/>
          <w:b w:val="0"/>
          <w:i w:val="0"/>
          <w:color w:val="000000"/>
          <w:sz w:val="21"/>
          <w:szCs w:val="21"/>
        </w:rPr>
      </w:pPr>
      <w:r>
        <w:rPr>
          <w:rFonts w:hint="eastAsia" w:ascii="仿宋" w:hAnsi="仿宋" w:eastAsia="仿宋" w:cs="仿宋"/>
          <w:b w:val="0"/>
          <w:i w:val="0"/>
          <w:color w:val="000000"/>
          <w:sz w:val="31"/>
          <w:szCs w:val="31"/>
          <w:bdr w:val="none" w:color="auto" w:sz="0" w:space="0"/>
          <w:shd w:val="clear" w:fill="FFFFFF"/>
        </w:rPr>
        <w:t>本年无部门评价。</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555" w:lineRule="atLeast"/>
        <w:ind w:left="720"/>
        <w:rPr>
          <w:rFonts w:hint="default" w:ascii="Times New Roman" w:hAnsi="Times New Roman" w:cs="Times New Roman"/>
          <w:b w:val="0"/>
          <w:i w:val="0"/>
          <w:color w:val="000000"/>
          <w:sz w:val="21"/>
          <w:szCs w:val="21"/>
        </w:rPr>
      </w:pPr>
      <w:r>
        <w:rPr>
          <w:rFonts w:hint="eastAsia" w:ascii="仿宋" w:hAnsi="仿宋" w:eastAsia="仿宋" w:cs="仿宋"/>
          <w:b w:val="0"/>
          <w:i w:val="0"/>
          <w:color w:val="000000"/>
          <w:sz w:val="31"/>
          <w:szCs w:val="31"/>
          <w:bdr w:val="none" w:color="auto" w:sz="0" w:space="0"/>
          <w:shd w:val="clear" w:fill="FFFFFF"/>
        </w:rPr>
        <w:t>本年无部门整体支出绩效评价。</w:t>
      </w:r>
    </w:p>
    <w:p>
      <w:pPr>
        <w:keepNext w:val="0"/>
        <w:keepLines w:val="0"/>
        <w:widowControl/>
        <w:numPr>
          <w:ilvl w:val="0"/>
          <w:numId w:val="1"/>
        </w:numPr>
        <w:suppressLineNumbers w:val="0"/>
        <w:spacing w:before="0" w:beforeAutospacing="1" w:after="0" w:afterAutospacing="1"/>
        <w:ind w:left="20890" w:hanging="360"/>
      </w:pPr>
    </w:p>
    <w:p>
      <w:pPr>
        <w:pStyle w:val="2"/>
        <w:keepNext w:val="0"/>
        <w:keepLines w:val="0"/>
        <w:widowControl/>
        <w:suppressLineNumbers w:val="0"/>
        <w:spacing w:before="0" w:beforeAutospacing="0" w:after="0" w:afterAutospacing="0" w:line="555" w:lineRule="atLeast"/>
        <w:ind w:left="720"/>
        <w:rPr>
          <w:rFonts w:hint="default" w:ascii="Times New Roman" w:hAnsi="Times New Roman" w:cs="Times New Roman"/>
          <w:b w:val="0"/>
          <w:i w:val="0"/>
          <w:color w:val="000000"/>
          <w:sz w:val="21"/>
          <w:szCs w:val="21"/>
        </w:rPr>
      </w:pPr>
      <w:r>
        <w:rPr>
          <w:rFonts w:hint="eastAsia" w:ascii="仿宋" w:hAnsi="仿宋" w:eastAsia="仿宋" w:cs="仿宋"/>
          <w:b w:val="0"/>
          <w:i w:val="0"/>
          <w:color w:val="000000"/>
          <w:sz w:val="31"/>
          <w:szCs w:val="31"/>
          <w:bdr w:val="none" w:color="auto" w:sz="0" w:space="0"/>
          <w:shd w:val="clear" w:fill="FFFFFF"/>
        </w:rPr>
        <w:t>本年无下属部门或单位整体支出绩效评价</w:t>
      </w:r>
    </w:p>
    <w:p>
      <w:pPr>
        <w:keepNext w:val="0"/>
        <w:keepLines w:val="0"/>
        <w:widowControl/>
        <w:numPr>
          <w:ilvl w:val="0"/>
          <w:numId w:val="1"/>
        </w:numPr>
        <w:suppressLineNumbers w:val="0"/>
        <w:spacing w:before="0" w:beforeAutospacing="1" w:after="0" w:afterAutospacing="1"/>
        <w:ind w:left="20890" w:hanging="360"/>
      </w:pPr>
    </w:p>
    <w:p>
      <w:pPr>
        <w:keepNext w:val="0"/>
        <w:keepLines w:val="0"/>
        <w:widowControl/>
        <w:numPr>
          <w:ilvl w:val="0"/>
          <w:numId w:val="1"/>
        </w:numPr>
        <w:suppressLineNumbers w:val="0"/>
        <w:spacing w:before="0" w:beforeAutospacing="1" w:after="0" w:afterAutospacing="1"/>
        <w:ind w:left="5046" w:hanging="360"/>
      </w:pPr>
    </w:p>
    <w:p>
      <w:pPr>
        <w:pStyle w:val="2"/>
        <w:keepNext w:val="0"/>
        <w:keepLines w:val="0"/>
        <w:widowControl/>
        <w:suppressLineNumbers w:val="0"/>
        <w:spacing w:before="0" w:beforeAutospacing="0" w:after="0" w:afterAutospacing="0" w:line="324" w:lineRule="auto"/>
        <w:ind w:left="720"/>
        <w:rPr>
          <w:rFonts w:hint="default" w:ascii="Times New Roman" w:hAnsi="Times New Roman" w:cs="Times New Roman"/>
          <w:b w:val="0"/>
          <w:i w:val="0"/>
          <w:color w:val="000000"/>
          <w:sz w:val="21"/>
          <w:szCs w:val="21"/>
        </w:rPr>
      </w:pPr>
      <w:r>
        <w:rPr>
          <w:rStyle w:val="4"/>
          <w:rFonts w:hint="eastAsia" w:ascii="仿宋" w:hAnsi="仿宋" w:eastAsia="仿宋" w:cs="仿宋"/>
          <w:b/>
          <w:i w:val="0"/>
          <w:color w:val="000000"/>
          <w:sz w:val="31"/>
          <w:szCs w:val="31"/>
          <w:bdr w:val="none" w:color="auto" w:sz="0" w:space="0"/>
          <w:shd w:val="clear" w:fill="FFFFFF"/>
        </w:rPr>
        <w:t>单位决算中项目绩效自评结果</w:t>
      </w:r>
    </w:p>
    <w:p>
      <w:pPr>
        <w:keepNext w:val="0"/>
        <w:keepLines w:val="0"/>
        <w:widowControl/>
        <w:numPr>
          <w:ilvl w:val="0"/>
          <w:numId w:val="1"/>
        </w:numPr>
        <w:suppressLineNumbers w:val="0"/>
        <w:spacing w:before="0" w:beforeAutospacing="1" w:after="0" w:afterAutospacing="1"/>
        <w:ind w:left="5046" w:hanging="360"/>
      </w:pPr>
    </w:p>
    <w:p>
      <w:pPr>
        <w:pStyle w:val="2"/>
        <w:keepNext w:val="0"/>
        <w:keepLines w:val="0"/>
        <w:widowControl/>
        <w:suppressLineNumbers w:val="0"/>
        <w:spacing w:before="0" w:beforeAutospacing="0" w:after="0" w:afterAutospacing="0" w:line="555" w:lineRule="atLeast"/>
        <w:ind w:left="720"/>
        <w:rPr>
          <w:rFonts w:hint="default" w:ascii="Times New Roman" w:hAnsi="Times New Roman" w:cs="Times New Roman"/>
          <w:b w:val="0"/>
          <w:i w:val="0"/>
          <w:color w:val="000000"/>
          <w:sz w:val="21"/>
          <w:szCs w:val="21"/>
        </w:rPr>
      </w:pPr>
      <w:r>
        <w:rPr>
          <w:rFonts w:hint="eastAsia" w:ascii="仿宋_GB2312" w:hAnsi="Times New Roman" w:eastAsia="仿宋_GB2312" w:cs="仿宋_GB2312"/>
          <w:b w:val="0"/>
          <w:i w:val="0"/>
          <w:color w:val="000000"/>
          <w:sz w:val="31"/>
          <w:szCs w:val="31"/>
          <w:bdr w:val="none" w:color="auto" w:sz="0" w:space="0"/>
        </w:rPr>
        <w:t>金华市自然资源调查登记中心在2020年度部门决算中反映不动产登记数字电路光纤租用项目包项目绩效自评结果。</w:t>
      </w:r>
    </w:p>
    <w:p>
      <w:pPr>
        <w:keepNext w:val="0"/>
        <w:keepLines w:val="0"/>
        <w:widowControl/>
        <w:numPr>
          <w:ilvl w:val="0"/>
          <w:numId w:val="1"/>
        </w:numPr>
        <w:suppressLineNumbers w:val="0"/>
        <w:spacing w:before="0" w:beforeAutospacing="1" w:after="0" w:afterAutospacing="1"/>
        <w:ind w:left="5046" w:hanging="360"/>
      </w:pPr>
    </w:p>
    <w:p>
      <w:pPr>
        <w:pStyle w:val="2"/>
        <w:keepNext w:val="0"/>
        <w:keepLines w:val="0"/>
        <w:widowControl/>
        <w:suppressLineNumbers w:val="0"/>
        <w:spacing w:before="0" w:beforeAutospacing="0" w:after="0" w:afterAutospacing="0" w:line="555" w:lineRule="atLeast"/>
        <w:ind w:left="720"/>
        <w:rPr>
          <w:rFonts w:hint="default" w:ascii="Times New Roman" w:hAnsi="Times New Roman" w:cs="Times New Roman"/>
          <w:b w:val="0"/>
          <w:i w:val="0"/>
          <w:color w:val="000000"/>
          <w:sz w:val="21"/>
          <w:szCs w:val="21"/>
        </w:rPr>
      </w:pPr>
      <w:r>
        <w:rPr>
          <w:rFonts w:hint="eastAsia" w:ascii="仿宋_GB2312" w:hAnsi="Times New Roman" w:eastAsia="仿宋_GB2312" w:cs="仿宋_GB2312"/>
          <w:b w:val="0"/>
          <w:i w:val="0"/>
          <w:color w:val="000000"/>
          <w:sz w:val="31"/>
          <w:szCs w:val="31"/>
          <w:bdr w:val="none" w:color="auto" w:sz="0" w:space="0"/>
        </w:rPr>
        <w:t>不动产登记数字电路光纤租用项目绩效自评综述：根据年初设定的绩效目标，项目自评得分92分，自评结论为“优”。项目全年预算数为6.48万元，执行数为6.48万元，完成预算的100%。项目绩效目标完成情况：1、通过租赁中国电信股份有限公司六条光纤，实现市本级不动产登记互联互通，达到全城通办功能。系统运行稳定，为不动产登记“最多跑一次”提供了技术支撑。2、通过移动公司推送不动产登记短信服务20万条，使办事群众能及时得知办件已办结，提高群众获得感。发现的问题及原因：1、租用电信公司的六根光纤，租用移动公司短信光纤一条，因故障发送移动短信服务20万条未达到，影响了用户体验。2、因移动网络有时存在短暂发送问题，不动产权利人的部分办结短信不能及时收到3、由于系统有时短信发送存在问题，导致不动产权利人体验不佳。</w:t>
      </w:r>
    </w:p>
    <w:p>
      <w:pPr>
        <w:keepNext w:val="0"/>
        <w:keepLines w:val="0"/>
        <w:widowControl/>
        <w:numPr>
          <w:ilvl w:val="0"/>
          <w:numId w:val="1"/>
        </w:numPr>
        <w:suppressLineNumbers w:val="0"/>
        <w:spacing w:before="0" w:beforeAutospacing="1" w:after="0" w:afterAutospacing="1"/>
        <w:ind w:left="5046" w:hanging="360"/>
      </w:pPr>
    </w:p>
    <w:p>
      <w:pPr>
        <w:pStyle w:val="2"/>
        <w:keepNext w:val="0"/>
        <w:keepLines w:val="0"/>
        <w:widowControl/>
        <w:suppressLineNumbers w:val="0"/>
        <w:spacing w:before="0" w:beforeAutospacing="0" w:after="0" w:afterAutospacing="0" w:line="555" w:lineRule="atLeast"/>
        <w:ind w:left="720"/>
        <w:jc w:val="center"/>
        <w:rPr>
          <w:rFonts w:hint="default" w:ascii="Times New Roman" w:hAnsi="Times New Roman" w:cs="Times New Roman"/>
          <w:b w:val="0"/>
          <w:i w:val="0"/>
          <w:color w:val="000000"/>
          <w:sz w:val="21"/>
          <w:szCs w:val="21"/>
        </w:rPr>
      </w:pPr>
      <w:r>
        <w:rPr>
          <w:rFonts w:ascii="方正小标宋简体" w:hAnsi="方正小标宋简体" w:eastAsia="方正小标宋简体" w:cs="方正小标宋简体"/>
          <w:b w:val="0"/>
          <w:i w:val="0"/>
          <w:color w:val="000000"/>
          <w:sz w:val="43"/>
          <w:szCs w:val="43"/>
          <w:bdr w:val="none" w:color="auto" w:sz="0" w:space="0"/>
        </w:rPr>
        <w:t>金华市本级项目支出绩效自评表</w:t>
      </w:r>
    </w:p>
    <w:p>
      <w:pPr>
        <w:keepNext w:val="0"/>
        <w:keepLines w:val="0"/>
        <w:widowControl/>
        <w:numPr>
          <w:ilvl w:val="0"/>
          <w:numId w:val="1"/>
        </w:numPr>
        <w:suppressLineNumbers w:val="0"/>
        <w:spacing w:before="0" w:beforeAutospacing="1" w:after="0" w:afterAutospacing="1"/>
        <w:ind w:left="5046" w:hanging="360"/>
      </w:pPr>
    </w:p>
    <w:p>
      <w:pPr>
        <w:pStyle w:val="2"/>
        <w:keepNext w:val="0"/>
        <w:keepLines w:val="0"/>
        <w:widowControl/>
        <w:suppressLineNumbers w:val="0"/>
        <w:spacing w:before="0" w:beforeAutospacing="0" w:after="0" w:afterAutospacing="0" w:line="555" w:lineRule="atLeast"/>
        <w:ind w:left="720"/>
        <w:jc w:val="center"/>
        <w:rPr>
          <w:rFonts w:hint="default" w:ascii="Times New Roman" w:hAnsi="Times New Roman" w:cs="Times New Roman"/>
          <w:b w:val="0"/>
          <w:i w:val="0"/>
          <w:color w:val="000000"/>
          <w:sz w:val="21"/>
          <w:szCs w:val="21"/>
        </w:rPr>
      </w:pPr>
      <w:r>
        <w:rPr>
          <w:rFonts w:hint="eastAsia" w:ascii="方正小标宋简体" w:hAnsi="方正小标宋简体" w:eastAsia="方正小标宋简体" w:cs="方正小标宋简体"/>
          <w:b w:val="0"/>
          <w:i w:val="0"/>
          <w:color w:val="000000"/>
          <w:sz w:val="40"/>
          <w:szCs w:val="40"/>
          <w:bdr w:val="none" w:color="auto" w:sz="0" w:space="0"/>
        </w:rPr>
        <w:t>（2020年度）</w:t>
      </w:r>
    </w:p>
    <w:p>
      <w:pPr>
        <w:keepNext w:val="0"/>
        <w:keepLines w:val="0"/>
        <w:widowControl/>
        <w:numPr>
          <w:ilvl w:val="0"/>
          <w:numId w:val="1"/>
        </w:numPr>
        <w:suppressLineNumbers w:val="0"/>
        <w:spacing w:before="0" w:beforeAutospacing="1" w:after="0" w:afterAutospacing="1"/>
        <w:ind w:left="5046" w:hanging="360"/>
      </w:pPr>
    </w:p>
    <w:p>
      <w:pPr>
        <w:pStyle w:val="2"/>
        <w:keepNext w:val="0"/>
        <w:keepLines w:val="0"/>
        <w:widowControl/>
        <w:suppressLineNumbers w:val="0"/>
        <w:spacing w:before="0" w:beforeAutospacing="0" w:after="0" w:afterAutospacing="0" w:line="555" w:lineRule="atLeast"/>
        <w:ind w:left="720"/>
        <w:rPr>
          <w:rFonts w:hint="default" w:ascii="Times New Roman" w:hAnsi="Times New Roman" w:cs="Times New Roman"/>
          <w:b w:val="0"/>
          <w:i w:val="0"/>
          <w:color w:val="000000"/>
          <w:sz w:val="21"/>
          <w:szCs w:val="21"/>
        </w:rPr>
      </w:pPr>
      <w:r>
        <w:rPr>
          <w:rFonts w:hint="eastAsia" w:ascii="仿宋_GB2312" w:hAnsi="Times New Roman" w:eastAsia="仿宋_GB2312" w:cs="仿宋_GB2312"/>
          <w:b w:val="0"/>
          <w:i w:val="0"/>
          <w:color w:val="000000"/>
          <w:sz w:val="24"/>
          <w:szCs w:val="24"/>
          <w:bdr w:val="none" w:color="auto" w:sz="0" w:space="0"/>
        </w:rPr>
        <w:t>实施单位（盖章）：</w:t>
      </w:r>
    </w:p>
    <w:p>
      <w:pPr>
        <w:keepNext w:val="0"/>
        <w:keepLines w:val="0"/>
        <w:widowControl/>
        <w:numPr>
          <w:ilvl w:val="0"/>
          <w:numId w:val="1"/>
        </w:numPr>
        <w:suppressLineNumbers w:val="0"/>
        <w:spacing w:before="0" w:beforeAutospacing="1" w:after="0" w:afterAutospacing="1"/>
        <w:ind w:left="5046" w:hanging="360"/>
      </w:pPr>
    </w:p>
    <w:tbl>
      <w:tblPr>
        <w:tblW w:w="9577" w:type="dxa"/>
        <w:jc w:val="center"/>
        <w:tblInd w:w="-5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44"/>
        <w:gridCol w:w="973"/>
        <w:gridCol w:w="149"/>
        <w:gridCol w:w="89"/>
        <w:gridCol w:w="1107"/>
        <w:gridCol w:w="389"/>
        <w:gridCol w:w="778"/>
        <w:gridCol w:w="1033"/>
        <w:gridCol w:w="89"/>
        <w:gridCol w:w="1003"/>
        <w:gridCol w:w="824"/>
        <w:gridCol w:w="194"/>
        <w:gridCol w:w="494"/>
        <w:gridCol w:w="1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jc w:val="center"/>
        </w:trPr>
        <w:tc>
          <w:tcPr>
            <w:tcW w:w="1617"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项目名称</w:t>
            </w:r>
          </w:p>
        </w:tc>
        <w:tc>
          <w:tcPr>
            <w:tcW w:w="7960" w:type="dxa"/>
            <w:gridSpan w:val="1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不动产登记数字电路光纤租用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617"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主管部门</w:t>
            </w:r>
          </w:p>
        </w:tc>
        <w:tc>
          <w:tcPr>
            <w:tcW w:w="3545"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金华市自然资源和规划局</w:t>
            </w:r>
          </w:p>
        </w:tc>
        <w:tc>
          <w:tcPr>
            <w:tcW w:w="2110" w:type="dxa"/>
            <w:gridSpan w:val="4"/>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实施单位</w:t>
            </w:r>
          </w:p>
        </w:tc>
        <w:tc>
          <w:tcPr>
            <w:tcW w:w="2305"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金华市自然资源调查登记中心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617"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起止时间</w:t>
            </w:r>
          </w:p>
        </w:tc>
        <w:tc>
          <w:tcPr>
            <w:tcW w:w="7960" w:type="dxa"/>
            <w:gridSpan w:val="1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202001-202012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617" w:type="dxa"/>
            <w:gridSpan w:val="2"/>
            <w:vMerge w:val="restart"/>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项目资金（万元）</w:t>
            </w:r>
          </w:p>
        </w:tc>
        <w:tc>
          <w:tcPr>
            <w:tcW w:w="1734"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900" w:type="dxa"/>
            <w:gridSpan w:val="3"/>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年初预算数</w:t>
            </w:r>
          </w:p>
        </w:tc>
        <w:tc>
          <w:tcPr>
            <w:tcW w:w="2021" w:type="dxa"/>
            <w:gridSpan w:val="3"/>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全年预算数</w:t>
            </w:r>
          </w:p>
        </w:tc>
        <w:tc>
          <w:tcPr>
            <w:tcW w:w="2305"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617" w:type="dxa"/>
            <w:gridSpan w:val="2"/>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734"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left"/>
            </w:pPr>
            <w:r>
              <w:rPr>
                <w:rFonts w:hint="eastAsia" w:ascii="仿宋_GB2312" w:hAnsi="sans-serif" w:eastAsia="仿宋_GB2312" w:cs="仿宋_GB2312"/>
                <w:sz w:val="24"/>
                <w:szCs w:val="24"/>
              </w:rPr>
              <w:t>年度资金总额</w:t>
            </w:r>
          </w:p>
        </w:tc>
        <w:tc>
          <w:tcPr>
            <w:tcW w:w="190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6.48</w:t>
            </w:r>
          </w:p>
        </w:tc>
        <w:tc>
          <w:tcPr>
            <w:tcW w:w="2021"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6.48</w:t>
            </w:r>
          </w:p>
        </w:tc>
        <w:tc>
          <w:tcPr>
            <w:tcW w:w="230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1617" w:type="dxa"/>
            <w:gridSpan w:val="2"/>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734"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firstLine="240"/>
            </w:pPr>
            <w:r>
              <w:rPr>
                <w:rFonts w:hint="eastAsia" w:ascii="仿宋_GB2312" w:hAnsi="sans-serif" w:eastAsia="仿宋_GB2312" w:cs="仿宋_GB2312"/>
                <w:sz w:val="24"/>
                <w:szCs w:val="24"/>
              </w:rPr>
              <w:t>其中：市本级安排资金</w:t>
            </w:r>
          </w:p>
        </w:tc>
        <w:tc>
          <w:tcPr>
            <w:tcW w:w="190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6.48</w:t>
            </w:r>
          </w:p>
        </w:tc>
        <w:tc>
          <w:tcPr>
            <w:tcW w:w="2021"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6.48</w:t>
            </w:r>
          </w:p>
        </w:tc>
        <w:tc>
          <w:tcPr>
            <w:tcW w:w="230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4" w:type="dxa"/>
            <w:vMerge w:val="restart"/>
            <w:tcBorders>
              <w:top w:val="single" w:color="000000" w:sz="6" w:space="0"/>
              <w:left w:val="single" w:color="000000" w:sz="6" w:space="0"/>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年度总体目标</w:t>
            </w:r>
          </w:p>
        </w:tc>
        <w:tc>
          <w:tcPr>
            <w:tcW w:w="4607"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预期目标</w:t>
            </w:r>
          </w:p>
        </w:tc>
        <w:tc>
          <w:tcPr>
            <w:tcW w:w="4326"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jc w:val="center"/>
        </w:trPr>
        <w:tc>
          <w:tcPr>
            <w:tcW w:w="644" w:type="dxa"/>
            <w:vMerge w:val="continue"/>
            <w:tcBorders>
              <w:top w:val="single" w:color="000000" w:sz="6" w:space="0"/>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4607"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依据《不动产登记暂行条例实施细则》，不动产登记系统联网的要求，市本级与六个不动产登记分中心需要租用金华电信分公司六条光纤。不动产登记推送短信服务</w:t>
            </w:r>
            <w:r>
              <w:rPr>
                <w:rFonts w:hint="default" w:ascii="Times New Roman" w:hAnsi="Times New Roman" w:eastAsia="仿宋_GB2312" w:cs="Times New Roman"/>
                <w:sz w:val="24"/>
                <w:szCs w:val="24"/>
              </w:rPr>
              <w:t>20</w:t>
            </w:r>
            <w:r>
              <w:rPr>
                <w:rFonts w:hint="eastAsia" w:ascii="仿宋_GB2312" w:hAnsi="sans-serif" w:eastAsia="仿宋_GB2312" w:cs="仿宋_GB2312"/>
                <w:sz w:val="24"/>
                <w:szCs w:val="24"/>
              </w:rPr>
              <w:t>万条</w:t>
            </w:r>
          </w:p>
        </w:tc>
        <w:tc>
          <w:tcPr>
            <w:tcW w:w="4326"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市本级与江北大厅及4个不动产登记分中心实际租用了金华电信分公司六条光纤。不动产登记推送短信服务</w:t>
            </w:r>
            <w:r>
              <w:rPr>
                <w:rFonts w:hint="default" w:ascii="Times New Roman" w:hAnsi="Times New Roman" w:eastAsia="仿宋_GB2312" w:cs="Times New Roman"/>
                <w:sz w:val="24"/>
                <w:szCs w:val="24"/>
              </w:rPr>
              <w:t>20</w:t>
            </w:r>
            <w:r>
              <w:rPr>
                <w:rFonts w:hint="eastAsia" w:ascii="仿宋_GB2312" w:hAnsi="sans-serif" w:eastAsia="仿宋_GB2312" w:cs="仿宋_GB2312"/>
                <w:sz w:val="24"/>
                <w:szCs w:val="24"/>
              </w:rPr>
              <w:t>万条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jc w:val="center"/>
        </w:trPr>
        <w:tc>
          <w:tcPr>
            <w:tcW w:w="644" w:type="dxa"/>
            <w:vMerge w:val="restart"/>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绩 效 指 标</w:t>
            </w:r>
          </w:p>
        </w:tc>
        <w:tc>
          <w:tcPr>
            <w:tcW w:w="1211"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一级指标</w:t>
            </w:r>
          </w:p>
        </w:tc>
        <w:tc>
          <w:tcPr>
            <w:tcW w:w="1107"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二级指标</w:t>
            </w:r>
          </w:p>
        </w:tc>
        <w:tc>
          <w:tcPr>
            <w:tcW w:w="1167"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三级指标</w:t>
            </w:r>
          </w:p>
        </w:tc>
        <w:tc>
          <w:tcPr>
            <w:tcW w:w="1122"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年度指标值</w:t>
            </w:r>
          </w:p>
        </w:tc>
        <w:tc>
          <w:tcPr>
            <w:tcW w:w="1003"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实际完成值</w:t>
            </w:r>
          </w:p>
        </w:tc>
        <w:tc>
          <w:tcPr>
            <w:tcW w:w="824"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权重</w:t>
            </w:r>
          </w:p>
        </w:tc>
        <w:tc>
          <w:tcPr>
            <w:tcW w:w="688"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得分</w:t>
            </w:r>
          </w:p>
        </w:tc>
        <w:tc>
          <w:tcPr>
            <w:tcW w:w="1811"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19"/>
                <w:szCs w:val="19"/>
              </w:rPr>
              <w:t>偏差原因分析及改进措施</w:t>
            </w:r>
            <w:r>
              <w:rPr>
                <w:rStyle w:val="4"/>
                <w:rFonts w:hint="eastAsia" w:ascii="仿宋_GB2312" w:hAnsi="sans-serif" w:eastAsia="仿宋_GB2312" w:cs="仿宋_GB2312"/>
                <w:b/>
                <w:sz w:val="19"/>
                <w:szCs w:val="19"/>
              </w:rPr>
              <w:t>（必填项，可另附说明）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4"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11" w:type="dxa"/>
            <w:gridSpan w:val="3"/>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产出指标（</w:t>
            </w:r>
            <w:r>
              <w:rPr>
                <w:rFonts w:hint="default" w:ascii="Times New Roman" w:hAnsi="Times New Roman" w:eastAsia="仿宋_GB2312" w:cs="Times New Roman"/>
                <w:sz w:val="21"/>
                <w:szCs w:val="21"/>
              </w:rPr>
              <w:t>50</w:t>
            </w:r>
            <w:r>
              <w:rPr>
                <w:rFonts w:hint="eastAsia" w:ascii="仿宋_GB2312" w:hAnsi="sans-serif" w:eastAsia="仿宋_GB2312" w:cs="仿宋_GB2312"/>
                <w:sz w:val="21"/>
                <w:szCs w:val="21"/>
              </w:rPr>
              <w:t>分）</w:t>
            </w:r>
          </w:p>
        </w:tc>
        <w:tc>
          <w:tcPr>
            <w:tcW w:w="1107" w:type="dxa"/>
            <w:tcBorders>
              <w:top w:val="nil"/>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数量指标</w:t>
            </w:r>
          </w:p>
        </w:tc>
        <w:tc>
          <w:tcPr>
            <w:tcW w:w="116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江北大厅、四个分中心、短信发送租用光纤</w:t>
            </w:r>
          </w:p>
        </w:tc>
        <w:tc>
          <w:tcPr>
            <w:tcW w:w="1122"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7条</w:t>
            </w:r>
          </w:p>
        </w:tc>
        <w:tc>
          <w:tcPr>
            <w:tcW w:w="10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7条</w:t>
            </w:r>
          </w:p>
        </w:tc>
        <w:tc>
          <w:tcPr>
            <w:tcW w:w="82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9</w:t>
            </w:r>
          </w:p>
        </w:tc>
        <w:tc>
          <w:tcPr>
            <w:tcW w:w="181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租用电信公司的六根光纤，租用移动公司短信光纤一条，发送移动短信服务20万条未达到，影响用户体验。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4"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11"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107"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质量指标</w:t>
            </w:r>
          </w:p>
        </w:tc>
        <w:tc>
          <w:tcPr>
            <w:tcW w:w="116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确保系统网络安全、稳定。</w:t>
            </w:r>
          </w:p>
          <w:p>
            <w:pPr>
              <w:pStyle w:val="2"/>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sans-serif" w:cs="Times New Roman"/>
                <w:sz w:val="21"/>
                <w:szCs w:val="21"/>
              </w:rPr>
              <w:t> </w:t>
            </w:r>
          </w:p>
        </w:tc>
        <w:tc>
          <w:tcPr>
            <w:tcW w:w="1122"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100%</w:t>
            </w:r>
          </w:p>
        </w:tc>
        <w:tc>
          <w:tcPr>
            <w:tcW w:w="10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95%</w:t>
            </w:r>
          </w:p>
        </w:tc>
        <w:tc>
          <w:tcPr>
            <w:tcW w:w="82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20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16</w:t>
            </w:r>
          </w:p>
        </w:tc>
        <w:tc>
          <w:tcPr>
            <w:tcW w:w="181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因移动网络有时存在短暂发送问题，不动产权利人的部分办结短信不能及时收到。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4"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11"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107"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时效指标</w:t>
            </w:r>
          </w:p>
        </w:tc>
        <w:tc>
          <w:tcPr>
            <w:tcW w:w="116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1年内完成</w:t>
            </w:r>
          </w:p>
        </w:tc>
        <w:tc>
          <w:tcPr>
            <w:tcW w:w="1122"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1年以内</w:t>
            </w:r>
          </w:p>
        </w:tc>
        <w:tc>
          <w:tcPr>
            <w:tcW w:w="10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1年以内</w:t>
            </w:r>
          </w:p>
        </w:tc>
        <w:tc>
          <w:tcPr>
            <w:tcW w:w="82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181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在一年内完成租赁及发送。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jc w:val="center"/>
        </w:trPr>
        <w:tc>
          <w:tcPr>
            <w:tcW w:w="644"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11"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107"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成本指标</w:t>
            </w:r>
          </w:p>
        </w:tc>
        <w:tc>
          <w:tcPr>
            <w:tcW w:w="116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在项目预算范围内严格控制成本</w:t>
            </w:r>
          </w:p>
        </w:tc>
        <w:tc>
          <w:tcPr>
            <w:tcW w:w="1122"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6.48万元</w:t>
            </w:r>
          </w:p>
        </w:tc>
        <w:tc>
          <w:tcPr>
            <w:tcW w:w="10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6.48万元</w:t>
            </w:r>
          </w:p>
        </w:tc>
        <w:tc>
          <w:tcPr>
            <w:tcW w:w="82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30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30</w:t>
            </w:r>
          </w:p>
        </w:tc>
        <w:tc>
          <w:tcPr>
            <w:tcW w:w="181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在项目预算范围内严格控制成本。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jc w:val="center"/>
        </w:trPr>
        <w:tc>
          <w:tcPr>
            <w:tcW w:w="644"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11" w:type="dxa"/>
            <w:gridSpan w:val="3"/>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效益指标（</w:t>
            </w:r>
            <w:r>
              <w:rPr>
                <w:rFonts w:hint="default" w:ascii="Times New Roman" w:hAnsi="Times New Roman" w:eastAsia="仿宋_GB2312" w:cs="Times New Roman"/>
                <w:sz w:val="21"/>
                <w:szCs w:val="21"/>
              </w:rPr>
              <w:t>30</w:t>
            </w:r>
            <w:r>
              <w:rPr>
                <w:rFonts w:hint="eastAsia" w:ascii="仿宋_GB2312" w:hAnsi="sans-serif" w:eastAsia="仿宋_GB2312" w:cs="仿宋_GB2312"/>
                <w:sz w:val="21"/>
                <w:szCs w:val="21"/>
              </w:rPr>
              <w:t>分）</w:t>
            </w:r>
          </w:p>
        </w:tc>
        <w:tc>
          <w:tcPr>
            <w:tcW w:w="1107"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default" w:ascii="sans-serif" w:hAnsi="sans-serif" w:eastAsia="sans-serif" w:cs="sans-serif"/>
                <w:sz w:val="24"/>
                <w:szCs w:val="24"/>
              </w:rPr>
              <w:t> </w:t>
            </w:r>
          </w:p>
          <w:p>
            <w:pPr>
              <w:pStyle w:val="2"/>
              <w:keepNext w:val="0"/>
              <w:keepLines w:val="0"/>
              <w:widowControl/>
              <w:suppressLineNumbers w:val="0"/>
            </w:pPr>
            <w:r>
              <w:rPr>
                <w:rFonts w:hint="eastAsia" w:ascii="仿宋_GB2312" w:hAnsi="sans-serif" w:eastAsia="仿宋_GB2312" w:cs="仿宋_GB2312"/>
                <w:sz w:val="21"/>
                <w:szCs w:val="21"/>
              </w:rPr>
              <w:t>经济效益指标</w:t>
            </w:r>
          </w:p>
        </w:tc>
        <w:tc>
          <w:tcPr>
            <w:tcW w:w="116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市本级不动产登记互联互通，达到全城通办功能</w:t>
            </w:r>
          </w:p>
        </w:tc>
        <w:tc>
          <w:tcPr>
            <w:tcW w:w="1122"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100%</w:t>
            </w:r>
          </w:p>
        </w:tc>
        <w:tc>
          <w:tcPr>
            <w:tcW w:w="10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100%</w:t>
            </w:r>
          </w:p>
        </w:tc>
        <w:tc>
          <w:tcPr>
            <w:tcW w:w="82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181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完成市本级不动产登记互联互通，达到全城通办功能。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4"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11"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107"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16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122"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0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82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81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644"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11" w:type="dxa"/>
            <w:gridSpan w:val="3"/>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满意度指标（</w:t>
            </w:r>
            <w:r>
              <w:rPr>
                <w:rFonts w:hint="default" w:ascii="Times New Roman" w:hAnsi="Times New Roman" w:eastAsia="仿宋_GB2312" w:cs="Times New Roman"/>
                <w:sz w:val="21"/>
                <w:szCs w:val="21"/>
              </w:rPr>
              <w:t>10</w:t>
            </w:r>
            <w:r>
              <w:rPr>
                <w:rFonts w:hint="eastAsia" w:ascii="仿宋_GB2312" w:hAnsi="sans-serif" w:eastAsia="仿宋_GB2312" w:cs="仿宋_GB2312"/>
                <w:sz w:val="21"/>
                <w:szCs w:val="21"/>
              </w:rPr>
              <w:t>分）</w:t>
            </w:r>
          </w:p>
        </w:tc>
        <w:tc>
          <w:tcPr>
            <w:tcW w:w="1107"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服务对象满意度</w:t>
            </w:r>
          </w:p>
        </w:tc>
        <w:tc>
          <w:tcPr>
            <w:tcW w:w="116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为办事群众及时提供办件已办结短信，提高群众获得感。</w:t>
            </w:r>
          </w:p>
          <w:p>
            <w:pPr>
              <w:pStyle w:val="2"/>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sans-serif" w:cs="Times New Roman"/>
                <w:sz w:val="21"/>
                <w:szCs w:val="21"/>
              </w:rPr>
              <w:t> </w:t>
            </w:r>
          </w:p>
        </w:tc>
        <w:tc>
          <w:tcPr>
            <w:tcW w:w="1122"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&gt;99%</w:t>
            </w:r>
          </w:p>
        </w:tc>
        <w:tc>
          <w:tcPr>
            <w:tcW w:w="10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&gt;99%</w:t>
            </w:r>
          </w:p>
        </w:tc>
        <w:tc>
          <w:tcPr>
            <w:tcW w:w="82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7</w:t>
            </w:r>
          </w:p>
        </w:tc>
        <w:tc>
          <w:tcPr>
            <w:tcW w:w="181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由于系统有时短信发送存在问题，导致不动产权利人体验不佳。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644" w:type="dxa"/>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211" w:type="dxa"/>
            <w:gridSpan w:val="3"/>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执行率指标（</w:t>
            </w:r>
            <w:r>
              <w:rPr>
                <w:rFonts w:hint="default" w:ascii="Times New Roman" w:hAnsi="Times New Roman" w:eastAsia="仿宋_GB2312" w:cs="Times New Roman"/>
                <w:sz w:val="21"/>
                <w:szCs w:val="21"/>
              </w:rPr>
              <w:t>10</w:t>
            </w:r>
            <w:r>
              <w:rPr>
                <w:rFonts w:hint="eastAsia" w:ascii="仿宋_GB2312" w:hAnsi="sans-serif" w:eastAsia="仿宋_GB2312" w:cs="仿宋_GB2312"/>
                <w:sz w:val="21"/>
                <w:szCs w:val="21"/>
              </w:rPr>
              <w:t>分）</w:t>
            </w:r>
          </w:p>
        </w:tc>
        <w:tc>
          <w:tcPr>
            <w:tcW w:w="4399" w:type="dxa"/>
            <w:gridSpan w:val="6"/>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pPr>
            <w:r>
              <w:rPr>
                <w:rFonts w:hint="eastAsia" w:ascii="仿宋_GB2312" w:hAnsi="sans-serif" w:eastAsia="仿宋_GB2312" w:cs="仿宋_GB2312"/>
                <w:sz w:val="21"/>
                <w:szCs w:val="21"/>
              </w:rPr>
              <w:t>资金执行率：</w:t>
            </w:r>
          </w:p>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（计算方式：执行率自评得分</w:t>
            </w:r>
            <w:r>
              <w:rPr>
                <w:rFonts w:hint="default" w:ascii="Times New Roman" w:hAnsi="Times New Roman" w:eastAsia="sans-serif" w:cs="Times New Roman"/>
                <w:sz w:val="22"/>
                <w:szCs w:val="22"/>
              </w:rPr>
              <w:t>=</w:t>
            </w:r>
            <w:r>
              <w:rPr>
                <w:rFonts w:hint="eastAsia" w:ascii="仿宋_GB2312" w:hAnsi="sans-serif" w:eastAsia="仿宋_GB2312" w:cs="仿宋_GB2312"/>
                <w:sz w:val="21"/>
                <w:szCs w:val="21"/>
              </w:rPr>
              <w:t>资金执行率</w:t>
            </w:r>
            <w:r>
              <w:rPr>
                <w:rFonts w:hint="default" w:ascii="Times New Roman" w:hAnsi="Times New Roman" w:eastAsia="sans-serif" w:cs="Times New Roman"/>
                <w:sz w:val="22"/>
                <w:szCs w:val="22"/>
              </w:rPr>
              <w:t>*</w:t>
            </w:r>
            <w:r>
              <w:rPr>
                <w:rFonts w:hint="default" w:ascii="Times New Roman" w:hAnsi="Times New Roman" w:eastAsia="sans-serif" w:cs="Times New Roman"/>
                <w:sz w:val="21"/>
                <w:szCs w:val="21"/>
              </w:rPr>
              <w:t>10</w:t>
            </w:r>
            <w:r>
              <w:rPr>
                <w:rFonts w:hint="eastAsia" w:ascii="仿宋_GB2312" w:hAnsi="sans-serif" w:eastAsia="仿宋_GB2312" w:cs="仿宋_GB2312"/>
                <w:sz w:val="21"/>
                <w:szCs w:val="21"/>
              </w:rPr>
              <w:t>）</w:t>
            </w:r>
          </w:p>
        </w:tc>
        <w:tc>
          <w:tcPr>
            <w:tcW w:w="82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sans-serif" w:cs="Times New Roman"/>
                <w:sz w:val="21"/>
                <w:szCs w:val="21"/>
              </w:rPr>
              <w:t>10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sz w:val="21"/>
                <w:szCs w:val="21"/>
              </w:rPr>
              <w:t>10</w:t>
            </w:r>
          </w:p>
        </w:tc>
        <w:tc>
          <w:tcPr>
            <w:tcW w:w="181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1"/>
                <w:szCs w:val="21"/>
              </w:rPr>
              <w:t>资金执行率完成度高。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4" w:type="dxa"/>
            <w:tcBorders>
              <w:top w:val="nil"/>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5610" w:type="dxa"/>
            <w:gridSpan w:val="9"/>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1"/>
                <w:szCs w:val="21"/>
              </w:rPr>
              <w:t>总分</w:t>
            </w:r>
          </w:p>
        </w:tc>
        <w:tc>
          <w:tcPr>
            <w:tcW w:w="824"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sans-serif" w:cs="Times New Roman"/>
                <w:sz w:val="21"/>
                <w:szCs w:val="21"/>
              </w:rPr>
              <w:t>100</w:t>
            </w:r>
          </w:p>
        </w:tc>
        <w:tc>
          <w:tcPr>
            <w:tcW w:w="688" w:type="dxa"/>
            <w:gridSpan w:val="2"/>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sz w:val="21"/>
                <w:szCs w:val="21"/>
              </w:rPr>
              <w:t>92</w:t>
            </w:r>
          </w:p>
        </w:tc>
        <w:tc>
          <w:tcPr>
            <w:tcW w:w="1811"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1766"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评价结果</w:t>
            </w:r>
          </w:p>
        </w:tc>
        <w:tc>
          <w:tcPr>
            <w:tcW w:w="5312" w:type="dxa"/>
            <w:gridSpan w:val="8"/>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优：</w:t>
            </w:r>
            <w:r>
              <w:rPr>
                <w:rFonts w:hint="default" w:ascii="Times New Roman" w:hAnsi="Times New Roman" w:eastAsia="仿宋_GB2312" w:cs="Times New Roman"/>
                <w:sz w:val="24"/>
                <w:szCs w:val="24"/>
              </w:rPr>
              <w:t>90</w:t>
            </w:r>
            <w:r>
              <w:rPr>
                <w:rFonts w:hint="eastAsia" w:ascii="仿宋_GB2312" w:hAnsi="sans-serif" w:eastAsia="仿宋_GB2312" w:cs="仿宋_GB2312"/>
                <w:sz w:val="24"/>
                <w:szCs w:val="24"/>
              </w:rPr>
              <w:t>分≤得分≤</w:t>
            </w:r>
            <w:r>
              <w:rPr>
                <w:rFonts w:hint="default" w:ascii="Times New Roman" w:hAnsi="Times New Roman" w:eastAsia="仿宋_GB2312" w:cs="Times New Roman"/>
                <w:sz w:val="24"/>
                <w:szCs w:val="24"/>
              </w:rPr>
              <w:t>100</w:t>
            </w:r>
            <w:r>
              <w:rPr>
                <w:rFonts w:hint="eastAsia" w:ascii="仿宋_GB2312" w:hAnsi="sans-serif" w:eastAsia="仿宋_GB2312" w:cs="仿宋_GB2312"/>
                <w:sz w:val="24"/>
                <w:szCs w:val="24"/>
              </w:rPr>
              <w:t>分；良：</w:t>
            </w:r>
            <w:r>
              <w:rPr>
                <w:rFonts w:hint="default" w:ascii="Times New Roman" w:hAnsi="Times New Roman" w:eastAsia="仿宋_GB2312" w:cs="Times New Roman"/>
                <w:sz w:val="24"/>
                <w:szCs w:val="24"/>
              </w:rPr>
              <w:t>80</w:t>
            </w:r>
            <w:r>
              <w:rPr>
                <w:rFonts w:hint="eastAsia" w:ascii="仿宋_GB2312" w:hAnsi="sans-serif" w:eastAsia="仿宋_GB2312" w:cs="仿宋_GB2312"/>
                <w:sz w:val="24"/>
                <w:szCs w:val="24"/>
              </w:rPr>
              <w:t>分≤得分</w:t>
            </w:r>
            <w:r>
              <w:rPr>
                <w:rFonts w:hint="default" w:ascii="Times New Roman" w:hAnsi="Times New Roman" w:eastAsia="仿宋_GB2312" w:cs="Times New Roman"/>
                <w:sz w:val="24"/>
                <w:szCs w:val="24"/>
              </w:rPr>
              <w:t>&lt;90</w:t>
            </w:r>
            <w:r>
              <w:rPr>
                <w:rFonts w:hint="eastAsia" w:ascii="仿宋_GB2312" w:hAnsi="sans-serif" w:eastAsia="仿宋_GB2312" w:cs="仿宋_GB2312"/>
                <w:sz w:val="24"/>
                <w:szCs w:val="24"/>
              </w:rPr>
              <w:t>分；中：</w:t>
            </w:r>
            <w:r>
              <w:rPr>
                <w:rFonts w:hint="default" w:ascii="Times New Roman" w:hAnsi="Times New Roman" w:eastAsia="仿宋_GB2312" w:cs="Times New Roman"/>
                <w:sz w:val="24"/>
                <w:szCs w:val="24"/>
              </w:rPr>
              <w:t>60</w:t>
            </w:r>
            <w:r>
              <w:rPr>
                <w:rFonts w:hint="eastAsia" w:ascii="仿宋_GB2312" w:hAnsi="sans-serif" w:eastAsia="仿宋_GB2312" w:cs="仿宋_GB2312"/>
                <w:sz w:val="24"/>
                <w:szCs w:val="24"/>
              </w:rPr>
              <w:t>分≤得分</w:t>
            </w:r>
            <w:r>
              <w:rPr>
                <w:rFonts w:hint="default" w:ascii="Times New Roman" w:hAnsi="Times New Roman" w:eastAsia="仿宋_GB2312" w:cs="Times New Roman"/>
                <w:sz w:val="24"/>
                <w:szCs w:val="24"/>
              </w:rPr>
              <w:t>&lt;80</w:t>
            </w:r>
            <w:r>
              <w:rPr>
                <w:rFonts w:hint="eastAsia" w:ascii="仿宋_GB2312" w:hAnsi="sans-serif" w:eastAsia="仿宋_GB2312" w:cs="仿宋_GB2312"/>
                <w:sz w:val="24"/>
                <w:szCs w:val="24"/>
              </w:rPr>
              <w:t>分；差：得分</w:t>
            </w:r>
            <w:r>
              <w:rPr>
                <w:rFonts w:hint="default" w:ascii="Times New Roman" w:hAnsi="Times New Roman" w:eastAsia="仿宋_GB2312" w:cs="Times New Roman"/>
                <w:sz w:val="24"/>
                <w:szCs w:val="24"/>
              </w:rPr>
              <w:t>&lt;60</w:t>
            </w:r>
            <w:r>
              <w:rPr>
                <w:rFonts w:hint="eastAsia" w:ascii="仿宋_GB2312" w:hAnsi="sans-serif" w:eastAsia="仿宋_GB2312" w:cs="仿宋_GB2312"/>
                <w:sz w:val="24"/>
                <w:szCs w:val="24"/>
              </w:rPr>
              <w:t>分</w:t>
            </w:r>
          </w:p>
        </w:tc>
        <w:tc>
          <w:tcPr>
            <w:tcW w:w="688" w:type="dxa"/>
            <w:gridSpan w:val="2"/>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sz w:val="21"/>
                <w:szCs w:val="21"/>
              </w:rPr>
              <w:t>优</w:t>
            </w:r>
          </w:p>
        </w:tc>
        <w:tc>
          <w:tcPr>
            <w:tcW w:w="18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r>
    </w:tbl>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不动产登记档案数字化整理外包项目绩效自评综述：根据年初设定的绩效目标，项目自评得分99分，自评结论为“优”。项目全年预算数为49.6万元，执行数为48.45万元，完成预算的97.6%。项目绩效目标完成情况：一是很好的完成了2020年不动产登记档案142.1783万页的整理、数字化加工、装订入库工作；二是很好地把数字化成果应用于不动产登记系统，能快速准确查询档案信息及影像。发现的问题及原因：一是因招标单价预算与实际中标价有较小差别，造成执行率达不到100%；二是档案信息查询服务于税收、就业、就读、金融、司法、工商等多领域应用，有重大社会隐性效益，但是无收费不产生直接经济效益。</w:t>
      </w:r>
    </w:p>
    <w:p>
      <w:pPr>
        <w:pStyle w:val="2"/>
        <w:keepNext w:val="0"/>
        <w:keepLines w:val="0"/>
        <w:widowControl/>
        <w:suppressLineNumbers w:val="0"/>
        <w:spacing w:before="0" w:beforeAutospacing="0" w:after="0" w:afterAutospacing="0" w:line="555" w:lineRule="atLeast"/>
        <w:ind w:left="0" w:right="0"/>
        <w:jc w:val="center"/>
      </w:pPr>
      <w:r>
        <w:rPr>
          <w:rFonts w:hint="eastAsia" w:ascii="方正小标宋简体" w:hAnsi="方正小标宋简体" w:eastAsia="方正小标宋简体" w:cs="方正小标宋简体"/>
          <w:sz w:val="43"/>
          <w:szCs w:val="43"/>
        </w:rPr>
        <w:t>金华市本级项目支出绩效自评表</w:t>
      </w:r>
    </w:p>
    <w:p>
      <w:pPr>
        <w:pStyle w:val="2"/>
        <w:keepNext w:val="0"/>
        <w:keepLines w:val="0"/>
        <w:widowControl/>
        <w:suppressLineNumbers w:val="0"/>
        <w:spacing w:before="0" w:beforeAutospacing="0" w:after="0" w:afterAutospacing="0" w:line="555" w:lineRule="atLeast"/>
        <w:ind w:left="0" w:right="0"/>
        <w:jc w:val="center"/>
      </w:pPr>
      <w:r>
        <w:rPr>
          <w:rFonts w:hint="eastAsia" w:ascii="方正小标宋简体" w:hAnsi="方正小标宋简体" w:eastAsia="方正小标宋简体" w:cs="方正小标宋简体"/>
          <w:sz w:val="40"/>
          <w:szCs w:val="40"/>
        </w:rPr>
        <w:t>（2020年度）</w:t>
      </w:r>
    </w:p>
    <w:p>
      <w:pPr>
        <w:pStyle w:val="2"/>
        <w:keepNext w:val="0"/>
        <w:keepLines w:val="0"/>
        <w:widowControl/>
        <w:suppressLineNumbers w:val="0"/>
        <w:spacing w:before="0" w:beforeAutospacing="0" w:after="0" w:afterAutospacing="0" w:line="555" w:lineRule="atLeast"/>
        <w:ind w:left="0" w:right="0" w:firstLine="2880"/>
      </w:pPr>
      <w:r>
        <w:rPr>
          <w:rFonts w:hint="eastAsia" w:ascii="仿宋_GB2312" w:eastAsia="仿宋_GB2312" w:cs="仿宋_GB2312"/>
          <w:sz w:val="24"/>
          <w:szCs w:val="24"/>
        </w:rPr>
        <w:t>实施单位（盖章）：</w:t>
      </w:r>
    </w:p>
    <w:tbl>
      <w:tblPr>
        <w:tblW w:w="9585" w:type="dxa"/>
        <w:jc w:val="center"/>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42"/>
        <w:gridCol w:w="968"/>
        <w:gridCol w:w="149"/>
        <w:gridCol w:w="89"/>
        <w:gridCol w:w="1101"/>
        <w:gridCol w:w="387"/>
        <w:gridCol w:w="774"/>
        <w:gridCol w:w="1029"/>
        <w:gridCol w:w="90"/>
        <w:gridCol w:w="1052"/>
        <w:gridCol w:w="821"/>
        <w:gridCol w:w="195"/>
        <w:gridCol w:w="493"/>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jc w:val="center"/>
        </w:trPr>
        <w:tc>
          <w:tcPr>
            <w:tcW w:w="1610"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项目名称</w:t>
            </w:r>
          </w:p>
        </w:tc>
        <w:tc>
          <w:tcPr>
            <w:tcW w:w="7975" w:type="dxa"/>
            <w:gridSpan w:val="1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不动产登记档案数字化、整理业务外包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610"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主管部门</w:t>
            </w:r>
          </w:p>
        </w:tc>
        <w:tc>
          <w:tcPr>
            <w:tcW w:w="3529"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金华市自然资源和规划局</w:t>
            </w:r>
          </w:p>
        </w:tc>
        <w:tc>
          <w:tcPr>
            <w:tcW w:w="2158" w:type="dxa"/>
            <w:gridSpan w:val="4"/>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实施单位</w:t>
            </w:r>
          </w:p>
        </w:tc>
        <w:tc>
          <w:tcPr>
            <w:tcW w:w="2288"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pPr>
            <w:r>
              <w:rPr>
                <w:rFonts w:hint="eastAsia" w:ascii="仿宋_GB2312" w:hAnsi="sans-serif" w:eastAsia="仿宋_GB2312" w:cs="仿宋_GB2312"/>
                <w:sz w:val="24"/>
                <w:szCs w:val="24"/>
              </w:rPr>
              <w:t>金华市自然资源调查登记中心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610"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起止时间</w:t>
            </w:r>
          </w:p>
        </w:tc>
        <w:tc>
          <w:tcPr>
            <w:tcW w:w="7975" w:type="dxa"/>
            <w:gridSpan w:val="1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2020年</w:t>
            </w:r>
            <w:r>
              <w:rPr>
                <w:rFonts w:hint="default" w:ascii="Times New Roman" w:hAnsi="Times New Roman" w:eastAsia="仿宋_GB2312" w:cs="Times New Roman"/>
                <w:sz w:val="24"/>
                <w:szCs w:val="24"/>
              </w:rPr>
              <w:t>8</w:t>
            </w:r>
            <w:r>
              <w:rPr>
                <w:rFonts w:hint="eastAsia" w:ascii="仿宋_GB2312" w:hAnsi="sans-serif" w:eastAsia="仿宋_GB2312" w:cs="仿宋_GB2312"/>
                <w:sz w:val="24"/>
                <w:szCs w:val="24"/>
              </w:rPr>
              <w:t>月——</w:t>
            </w:r>
            <w:r>
              <w:rPr>
                <w:rFonts w:hint="default" w:ascii="Times New Roman" w:hAnsi="Times New Roman" w:eastAsia="仿宋_GB2312" w:cs="Times New Roman"/>
                <w:sz w:val="24"/>
                <w:szCs w:val="24"/>
              </w:rPr>
              <w:t>2020</w:t>
            </w:r>
            <w:r>
              <w:rPr>
                <w:rFonts w:hint="eastAsia" w:ascii="仿宋_GB2312" w:hAnsi="sans-serif" w:eastAsia="仿宋_GB2312" w:cs="仿宋_GB2312"/>
                <w:sz w:val="24"/>
                <w:szCs w:val="24"/>
              </w:rPr>
              <w:t>年</w:t>
            </w:r>
            <w:r>
              <w:rPr>
                <w:rFonts w:hint="default" w:ascii="Times New Roman" w:hAnsi="Times New Roman" w:eastAsia="仿宋_GB2312" w:cs="Times New Roman"/>
                <w:sz w:val="24"/>
                <w:szCs w:val="24"/>
              </w:rPr>
              <w:t>12</w:t>
            </w:r>
            <w:r>
              <w:rPr>
                <w:rFonts w:hint="eastAsia" w:ascii="仿宋_GB2312" w:hAnsi="sans-serif" w:eastAsia="仿宋_GB2312" w:cs="仿宋_GB2312"/>
                <w:sz w:val="24"/>
                <w:szCs w:val="24"/>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610" w:type="dxa"/>
            <w:gridSpan w:val="2"/>
            <w:vMerge w:val="restart"/>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项目资金（万元）</w:t>
            </w:r>
          </w:p>
        </w:tc>
        <w:tc>
          <w:tcPr>
            <w:tcW w:w="1726"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893" w:type="dxa"/>
            <w:gridSpan w:val="3"/>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年初预算数</w:t>
            </w:r>
          </w:p>
        </w:tc>
        <w:tc>
          <w:tcPr>
            <w:tcW w:w="2068" w:type="dxa"/>
            <w:gridSpan w:val="3"/>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全年预算数</w:t>
            </w:r>
          </w:p>
        </w:tc>
        <w:tc>
          <w:tcPr>
            <w:tcW w:w="2288"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610" w:type="dxa"/>
            <w:gridSpan w:val="2"/>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726"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left"/>
            </w:pPr>
            <w:r>
              <w:rPr>
                <w:rFonts w:hint="eastAsia" w:ascii="仿宋_GB2312" w:hAnsi="sans-serif" w:eastAsia="仿宋_GB2312" w:cs="仿宋_GB2312"/>
                <w:sz w:val="24"/>
                <w:szCs w:val="24"/>
              </w:rPr>
              <w:t>年度资金总额</w:t>
            </w:r>
          </w:p>
        </w:tc>
        <w:tc>
          <w:tcPr>
            <w:tcW w:w="1893"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49.60 万元</w:t>
            </w:r>
          </w:p>
        </w:tc>
        <w:tc>
          <w:tcPr>
            <w:tcW w:w="2068"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49.6万元</w:t>
            </w:r>
          </w:p>
        </w:tc>
        <w:tc>
          <w:tcPr>
            <w:tcW w:w="22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sans-serif" w:cs="Times New Roman"/>
                <w:sz w:val="24"/>
                <w:szCs w:val="24"/>
              </w:rPr>
              <w:t>48.</w:t>
            </w:r>
            <w:r>
              <w:rPr>
                <w:rFonts w:hint="eastAsia" w:ascii="仿宋_GB2312" w:hAnsi="sans-serif" w:eastAsia="仿宋_GB2312" w:cs="仿宋_GB2312"/>
                <w:sz w:val="24"/>
                <w:szCs w:val="24"/>
              </w:rPr>
              <w:t>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jc w:val="center"/>
        </w:trPr>
        <w:tc>
          <w:tcPr>
            <w:tcW w:w="1610" w:type="dxa"/>
            <w:gridSpan w:val="2"/>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726"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firstLine="240"/>
            </w:pPr>
            <w:r>
              <w:rPr>
                <w:rFonts w:hint="eastAsia" w:ascii="仿宋_GB2312" w:hAnsi="sans-serif" w:eastAsia="仿宋_GB2312" w:cs="仿宋_GB2312"/>
                <w:sz w:val="24"/>
                <w:szCs w:val="24"/>
              </w:rPr>
              <w:t>其中：市本级</w:t>
            </w:r>
          </w:p>
          <w:p>
            <w:pPr>
              <w:pStyle w:val="2"/>
              <w:keepNext w:val="0"/>
              <w:keepLines w:val="0"/>
              <w:widowControl/>
              <w:suppressLineNumbers w:val="0"/>
              <w:spacing w:before="0" w:beforeAutospacing="0" w:after="0" w:afterAutospacing="0" w:line="240" w:lineRule="atLeast"/>
              <w:ind w:left="0" w:right="0"/>
              <w:jc w:val="right"/>
            </w:pPr>
            <w:r>
              <w:rPr>
                <w:rFonts w:hint="eastAsia" w:ascii="仿宋_GB2312" w:hAnsi="sans-serif" w:eastAsia="仿宋_GB2312" w:cs="仿宋_GB2312"/>
                <w:sz w:val="24"/>
                <w:szCs w:val="24"/>
              </w:rPr>
              <w:t>安排资金</w:t>
            </w:r>
          </w:p>
        </w:tc>
        <w:tc>
          <w:tcPr>
            <w:tcW w:w="1893"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49.60万元</w:t>
            </w:r>
          </w:p>
        </w:tc>
        <w:tc>
          <w:tcPr>
            <w:tcW w:w="2068"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49.6 万元</w:t>
            </w:r>
          </w:p>
        </w:tc>
        <w:tc>
          <w:tcPr>
            <w:tcW w:w="22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sans-serif" w:cs="Times New Roman"/>
                <w:sz w:val="24"/>
                <w:szCs w:val="24"/>
              </w:rPr>
              <w:t>48.</w:t>
            </w:r>
            <w:r>
              <w:rPr>
                <w:rFonts w:hint="eastAsia" w:ascii="仿宋_GB2312" w:hAnsi="sans-serif" w:eastAsia="仿宋_GB2312" w:cs="仿宋_GB2312"/>
                <w:sz w:val="24"/>
                <w:szCs w:val="24"/>
              </w:rPr>
              <w:t>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2" w:type="dxa"/>
            <w:vMerge w:val="restart"/>
            <w:tcBorders>
              <w:top w:val="single" w:color="000000" w:sz="6" w:space="0"/>
              <w:left w:val="single" w:color="000000" w:sz="6" w:space="0"/>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年度总体目标</w:t>
            </w:r>
          </w:p>
        </w:tc>
        <w:tc>
          <w:tcPr>
            <w:tcW w:w="4587"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预期目标</w:t>
            </w:r>
          </w:p>
        </w:tc>
        <w:tc>
          <w:tcPr>
            <w:tcW w:w="4356"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0" w:hRule="atLeast"/>
          <w:jc w:val="center"/>
        </w:trPr>
        <w:tc>
          <w:tcPr>
            <w:tcW w:w="642" w:type="dxa"/>
            <w:vMerge w:val="continue"/>
            <w:tcBorders>
              <w:top w:val="single" w:color="000000" w:sz="6" w:space="0"/>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4587"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提升公共服务管理水平，建设一套完善的电子档案数据，为进一步提高不动产登记的管理水平，实现登记规范化管理达标提高强有力的保障。</w:t>
            </w:r>
          </w:p>
        </w:tc>
        <w:tc>
          <w:tcPr>
            <w:tcW w:w="4356"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提升公共服务管理水平，建设一套完善的电子档案数据，为进一步提高不动产登记的管理水平，实现登记规范化管理达标提高强有力的保障。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jc w:val="center"/>
        </w:trPr>
        <w:tc>
          <w:tcPr>
            <w:tcW w:w="642" w:type="dxa"/>
            <w:vMerge w:val="restart"/>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绩 效 指 标</w:t>
            </w:r>
          </w:p>
        </w:tc>
        <w:tc>
          <w:tcPr>
            <w:tcW w:w="1206"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一级指标</w:t>
            </w:r>
          </w:p>
        </w:tc>
        <w:tc>
          <w:tcPr>
            <w:tcW w:w="110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二级指标</w:t>
            </w:r>
          </w:p>
        </w:tc>
        <w:tc>
          <w:tcPr>
            <w:tcW w:w="1161"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三级指标</w:t>
            </w:r>
          </w:p>
        </w:tc>
        <w:tc>
          <w:tcPr>
            <w:tcW w:w="1119"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年度指标值</w:t>
            </w:r>
          </w:p>
        </w:tc>
        <w:tc>
          <w:tcPr>
            <w:tcW w:w="1052"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实际完成值</w:t>
            </w:r>
          </w:p>
        </w:tc>
        <w:tc>
          <w:tcPr>
            <w:tcW w:w="821"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权重</w:t>
            </w:r>
          </w:p>
        </w:tc>
        <w:tc>
          <w:tcPr>
            <w:tcW w:w="688"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得分</w:t>
            </w:r>
          </w:p>
        </w:tc>
        <w:tc>
          <w:tcPr>
            <w:tcW w:w="179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19"/>
                <w:szCs w:val="19"/>
              </w:rPr>
              <w:t>偏差原因分析及改进措施</w:t>
            </w:r>
            <w:r>
              <w:rPr>
                <w:rStyle w:val="4"/>
                <w:rFonts w:hint="eastAsia" w:ascii="仿宋_GB2312" w:hAnsi="sans-serif" w:eastAsia="仿宋_GB2312" w:cs="仿宋_GB2312"/>
                <w:b/>
                <w:sz w:val="19"/>
                <w:szCs w:val="19"/>
              </w:rPr>
              <w:t>（必填项，可另附说明）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2"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06" w:type="dxa"/>
            <w:gridSpan w:val="3"/>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产出指标（</w:t>
            </w:r>
            <w:r>
              <w:rPr>
                <w:rFonts w:hint="default" w:ascii="Times New Roman" w:hAnsi="Times New Roman" w:eastAsia="仿宋_GB2312" w:cs="Times New Roman"/>
                <w:sz w:val="21"/>
                <w:szCs w:val="21"/>
              </w:rPr>
              <w:t>50</w:t>
            </w:r>
            <w:r>
              <w:rPr>
                <w:rFonts w:hint="eastAsia" w:ascii="仿宋_GB2312" w:hAnsi="sans-serif" w:eastAsia="仿宋_GB2312" w:cs="仿宋_GB2312"/>
                <w:sz w:val="21"/>
                <w:szCs w:val="21"/>
              </w:rPr>
              <w:t>分）</w:t>
            </w:r>
          </w:p>
        </w:tc>
        <w:tc>
          <w:tcPr>
            <w:tcW w:w="1101" w:type="dxa"/>
            <w:tcBorders>
              <w:top w:val="nil"/>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数量指标</w:t>
            </w:r>
          </w:p>
        </w:tc>
        <w:tc>
          <w:tcPr>
            <w:tcW w:w="116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档案数字化加工页数</w:t>
            </w:r>
          </w:p>
        </w:tc>
        <w:tc>
          <w:tcPr>
            <w:tcW w:w="1119"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 xml:space="preserve">142 </w:t>
            </w:r>
          </w:p>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万页</w:t>
            </w:r>
          </w:p>
        </w:tc>
        <w:tc>
          <w:tcPr>
            <w:tcW w:w="105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142.1783 万页</w:t>
            </w:r>
          </w:p>
        </w:tc>
        <w:tc>
          <w:tcPr>
            <w:tcW w:w="82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20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20</w:t>
            </w:r>
          </w:p>
        </w:tc>
        <w:tc>
          <w:tcPr>
            <w:tcW w:w="1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完成2020年不动产登记档案142.17万页的整理、扫描、装订入库工作。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2"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06"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101"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质量指标</w:t>
            </w:r>
          </w:p>
        </w:tc>
        <w:tc>
          <w:tcPr>
            <w:tcW w:w="116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通过规范化考核验收</w:t>
            </w:r>
          </w:p>
        </w:tc>
        <w:tc>
          <w:tcPr>
            <w:tcW w:w="1119"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100%</w:t>
            </w:r>
          </w:p>
        </w:tc>
        <w:tc>
          <w:tcPr>
            <w:tcW w:w="105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100%</w:t>
            </w:r>
          </w:p>
        </w:tc>
        <w:tc>
          <w:tcPr>
            <w:tcW w:w="82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20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20</w:t>
            </w:r>
          </w:p>
        </w:tc>
        <w:tc>
          <w:tcPr>
            <w:tcW w:w="1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全部档案数字化加工完成规范化考核验收。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2"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06"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101"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时效指标</w:t>
            </w:r>
          </w:p>
        </w:tc>
        <w:tc>
          <w:tcPr>
            <w:tcW w:w="116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2020年底完成</w:t>
            </w:r>
          </w:p>
        </w:tc>
        <w:tc>
          <w:tcPr>
            <w:tcW w:w="1119"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1年以内</w:t>
            </w:r>
          </w:p>
        </w:tc>
        <w:tc>
          <w:tcPr>
            <w:tcW w:w="105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1年以内</w:t>
            </w:r>
          </w:p>
        </w:tc>
        <w:tc>
          <w:tcPr>
            <w:tcW w:w="82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1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2020年11月全部完成电子化加工入库。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2"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06"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101"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成本指标</w:t>
            </w:r>
          </w:p>
        </w:tc>
        <w:tc>
          <w:tcPr>
            <w:tcW w:w="116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在项目预算范围内严格控制成本</w:t>
            </w:r>
          </w:p>
        </w:tc>
        <w:tc>
          <w:tcPr>
            <w:tcW w:w="1119"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49.6万元</w:t>
            </w:r>
          </w:p>
        </w:tc>
        <w:tc>
          <w:tcPr>
            <w:tcW w:w="105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49.6万元</w:t>
            </w:r>
          </w:p>
        </w:tc>
        <w:tc>
          <w:tcPr>
            <w:tcW w:w="82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1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在项目预算范围内严格控制成本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2"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06" w:type="dxa"/>
            <w:gridSpan w:val="3"/>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效益指标（</w:t>
            </w:r>
            <w:r>
              <w:rPr>
                <w:rFonts w:hint="default" w:ascii="Times New Roman" w:hAnsi="Times New Roman" w:eastAsia="仿宋_GB2312" w:cs="Times New Roman"/>
                <w:sz w:val="21"/>
                <w:szCs w:val="21"/>
              </w:rPr>
              <w:t>30</w:t>
            </w:r>
            <w:r>
              <w:rPr>
                <w:rFonts w:hint="eastAsia" w:ascii="仿宋_GB2312" w:hAnsi="sans-serif" w:eastAsia="仿宋_GB2312" w:cs="仿宋_GB2312"/>
                <w:sz w:val="21"/>
                <w:szCs w:val="21"/>
              </w:rPr>
              <w:t>分）</w:t>
            </w:r>
          </w:p>
        </w:tc>
        <w:tc>
          <w:tcPr>
            <w:tcW w:w="1101"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经济效益指标</w:t>
            </w:r>
          </w:p>
        </w:tc>
        <w:tc>
          <w:tcPr>
            <w:tcW w:w="116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确保档案数字化成果运用于不动产登记系统</w:t>
            </w:r>
          </w:p>
        </w:tc>
        <w:tc>
          <w:tcPr>
            <w:tcW w:w="1119"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100%</w:t>
            </w:r>
          </w:p>
        </w:tc>
        <w:tc>
          <w:tcPr>
            <w:tcW w:w="105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100%</w:t>
            </w:r>
          </w:p>
        </w:tc>
        <w:tc>
          <w:tcPr>
            <w:tcW w:w="82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9</w:t>
            </w:r>
          </w:p>
        </w:tc>
        <w:tc>
          <w:tcPr>
            <w:tcW w:w="1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pPr>
            <w:r>
              <w:rPr>
                <w:rFonts w:hint="eastAsia" w:ascii="仿宋_GB2312" w:hAnsi="sans-serif" w:eastAsia="仿宋_GB2312" w:cs="仿宋_GB2312"/>
                <w:sz w:val="21"/>
                <w:szCs w:val="21"/>
              </w:rPr>
              <w:t>数字化成果广泛应用于税收、就读、金融、司法等各领域但不收费有重大隐性社会效益不产生直接经济效益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2"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06"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101"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社会效益指标1</w:t>
            </w:r>
          </w:p>
        </w:tc>
        <w:tc>
          <w:tcPr>
            <w:tcW w:w="116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依法登记查询，提升服务效率，提高服务水平</w:t>
            </w:r>
          </w:p>
        </w:tc>
        <w:tc>
          <w:tcPr>
            <w:tcW w:w="1119"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100%</w:t>
            </w:r>
          </w:p>
        </w:tc>
        <w:tc>
          <w:tcPr>
            <w:tcW w:w="105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100%</w:t>
            </w:r>
          </w:p>
        </w:tc>
        <w:tc>
          <w:tcPr>
            <w:tcW w:w="82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1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深入便民服务各项举措，方便及时的为群众提供不动产档案查询服务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2"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06"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101"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社会效益指标2</w:t>
            </w:r>
          </w:p>
        </w:tc>
        <w:tc>
          <w:tcPr>
            <w:tcW w:w="116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提高行政司法部门查询效率</w:t>
            </w:r>
          </w:p>
        </w:tc>
        <w:tc>
          <w:tcPr>
            <w:tcW w:w="1119"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100%</w:t>
            </w:r>
          </w:p>
        </w:tc>
        <w:tc>
          <w:tcPr>
            <w:tcW w:w="105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100%</w:t>
            </w:r>
          </w:p>
        </w:tc>
        <w:tc>
          <w:tcPr>
            <w:tcW w:w="82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10</w:t>
            </w:r>
          </w:p>
        </w:tc>
        <w:tc>
          <w:tcPr>
            <w:tcW w:w="1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为使用人和行政司法部门提供了快速、准确的信息查询，极大提高了行政办公效率。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2"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06"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101" w:type="dxa"/>
            <w:tcBorders>
              <w:top w:val="single" w:color="000000" w:sz="6" w:space="0"/>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16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119"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05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82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642"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206" w:type="dxa"/>
            <w:gridSpan w:val="3"/>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满意度指标（</w:t>
            </w:r>
            <w:r>
              <w:rPr>
                <w:rFonts w:hint="default" w:ascii="Times New Roman" w:hAnsi="Times New Roman" w:eastAsia="仿宋_GB2312" w:cs="Times New Roman"/>
                <w:sz w:val="21"/>
                <w:szCs w:val="21"/>
              </w:rPr>
              <w:t>10</w:t>
            </w:r>
            <w:r>
              <w:rPr>
                <w:rFonts w:hint="eastAsia" w:ascii="仿宋_GB2312" w:hAnsi="sans-serif" w:eastAsia="仿宋_GB2312" w:cs="仿宋_GB2312"/>
                <w:sz w:val="21"/>
                <w:szCs w:val="21"/>
              </w:rPr>
              <w:t>分）</w:t>
            </w:r>
          </w:p>
        </w:tc>
        <w:tc>
          <w:tcPr>
            <w:tcW w:w="11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服务对象满意度指标</w:t>
            </w:r>
          </w:p>
        </w:tc>
        <w:tc>
          <w:tcPr>
            <w:tcW w:w="116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实现不动产登记档案查询系统提供服务满意度达到99%</w:t>
            </w:r>
          </w:p>
        </w:tc>
        <w:tc>
          <w:tcPr>
            <w:tcW w:w="1119"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1"/>
                <w:szCs w:val="21"/>
              </w:rPr>
              <w:t>&gt;99%</w:t>
            </w:r>
          </w:p>
        </w:tc>
        <w:tc>
          <w:tcPr>
            <w:tcW w:w="105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1"/>
                <w:szCs w:val="21"/>
              </w:rPr>
              <w:t>&gt;99%</w:t>
            </w:r>
          </w:p>
        </w:tc>
        <w:tc>
          <w:tcPr>
            <w:tcW w:w="82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1"/>
                <w:szCs w:val="21"/>
              </w:rPr>
              <w:t>10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sz w:val="21"/>
                <w:szCs w:val="21"/>
              </w:rPr>
              <w:t>10</w:t>
            </w:r>
          </w:p>
        </w:tc>
        <w:tc>
          <w:tcPr>
            <w:tcW w:w="1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提供不动产登记档案查询服务，使用者和查询人满意度达到99%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642" w:type="dxa"/>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206" w:type="dxa"/>
            <w:gridSpan w:val="3"/>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执行率指标（</w:t>
            </w:r>
            <w:r>
              <w:rPr>
                <w:rFonts w:hint="default" w:ascii="Times New Roman" w:hAnsi="Times New Roman" w:eastAsia="仿宋_GB2312" w:cs="Times New Roman"/>
                <w:sz w:val="21"/>
                <w:szCs w:val="21"/>
              </w:rPr>
              <w:t>10</w:t>
            </w:r>
            <w:r>
              <w:rPr>
                <w:rFonts w:hint="eastAsia" w:ascii="仿宋_GB2312" w:hAnsi="sans-serif" w:eastAsia="仿宋_GB2312" w:cs="仿宋_GB2312"/>
                <w:sz w:val="21"/>
                <w:szCs w:val="21"/>
              </w:rPr>
              <w:t>分）</w:t>
            </w:r>
          </w:p>
        </w:tc>
        <w:tc>
          <w:tcPr>
            <w:tcW w:w="4433" w:type="dxa"/>
            <w:gridSpan w:val="6"/>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pPr>
            <w:r>
              <w:rPr>
                <w:rFonts w:hint="eastAsia" w:ascii="仿宋_GB2312" w:hAnsi="sans-serif" w:eastAsia="仿宋_GB2312" w:cs="仿宋_GB2312"/>
                <w:sz w:val="21"/>
                <w:szCs w:val="21"/>
              </w:rPr>
              <w:t>资金执行率：</w:t>
            </w:r>
          </w:p>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1"/>
                <w:szCs w:val="21"/>
              </w:rPr>
              <w:t>（计算方式：执行率自评得分</w:t>
            </w:r>
            <w:r>
              <w:rPr>
                <w:rFonts w:hint="default" w:ascii="Times New Roman" w:hAnsi="Times New Roman" w:eastAsia="sans-serif" w:cs="Times New Roman"/>
                <w:sz w:val="22"/>
                <w:szCs w:val="22"/>
              </w:rPr>
              <w:t>=</w:t>
            </w:r>
            <w:r>
              <w:rPr>
                <w:rFonts w:hint="eastAsia" w:ascii="仿宋_GB2312" w:hAnsi="sans-serif" w:eastAsia="仿宋_GB2312" w:cs="仿宋_GB2312"/>
                <w:sz w:val="21"/>
                <w:szCs w:val="21"/>
              </w:rPr>
              <w:t>资金执行率</w:t>
            </w:r>
            <w:r>
              <w:rPr>
                <w:rFonts w:hint="default" w:ascii="Times New Roman" w:hAnsi="Times New Roman" w:eastAsia="sans-serif" w:cs="Times New Roman"/>
                <w:sz w:val="22"/>
                <w:szCs w:val="22"/>
              </w:rPr>
              <w:t>*</w:t>
            </w:r>
            <w:r>
              <w:rPr>
                <w:rFonts w:hint="default" w:ascii="Times New Roman" w:hAnsi="Times New Roman" w:eastAsia="sans-serif" w:cs="Times New Roman"/>
                <w:sz w:val="21"/>
                <w:szCs w:val="21"/>
              </w:rPr>
              <w:t>10</w:t>
            </w:r>
            <w:r>
              <w:rPr>
                <w:rFonts w:hint="eastAsia" w:ascii="仿宋_GB2312" w:hAnsi="sans-serif" w:eastAsia="仿宋_GB2312" w:cs="仿宋_GB2312"/>
                <w:sz w:val="21"/>
                <w:szCs w:val="21"/>
              </w:rPr>
              <w:t>）</w:t>
            </w:r>
          </w:p>
        </w:tc>
        <w:tc>
          <w:tcPr>
            <w:tcW w:w="82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sans-serif" w:cs="Times New Roman"/>
                <w:sz w:val="21"/>
                <w:szCs w:val="21"/>
              </w:rPr>
              <w:t>10</w:t>
            </w:r>
          </w:p>
        </w:tc>
        <w:tc>
          <w:tcPr>
            <w:tcW w:w="688"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sz w:val="21"/>
                <w:szCs w:val="21"/>
              </w:rPr>
              <w:t>10</w:t>
            </w:r>
          </w:p>
        </w:tc>
        <w:tc>
          <w:tcPr>
            <w:tcW w:w="1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1"/>
                <w:szCs w:val="21"/>
              </w:rPr>
              <w:t>97.6%中标价与招标价有较小差别，执行率达不到</w:t>
            </w:r>
            <w:r>
              <w:rPr>
                <w:rFonts w:hint="default" w:ascii="Times New Roman" w:hAnsi="Times New Roman" w:eastAsia="宋体" w:cs="Times New Roman"/>
                <w:sz w:val="21"/>
                <w:szCs w:val="21"/>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642" w:type="dxa"/>
            <w:tcBorders>
              <w:top w:val="nil"/>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5639" w:type="dxa"/>
            <w:gridSpan w:val="9"/>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1"/>
                <w:szCs w:val="21"/>
              </w:rPr>
              <w:t>总分</w:t>
            </w:r>
          </w:p>
        </w:tc>
        <w:tc>
          <w:tcPr>
            <w:tcW w:w="821"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sans-serif" w:cs="Times New Roman"/>
                <w:sz w:val="21"/>
                <w:szCs w:val="21"/>
              </w:rPr>
              <w:t>100</w:t>
            </w:r>
          </w:p>
        </w:tc>
        <w:tc>
          <w:tcPr>
            <w:tcW w:w="688" w:type="dxa"/>
            <w:gridSpan w:val="2"/>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sz w:val="21"/>
                <w:szCs w:val="21"/>
              </w:rPr>
              <w:t>99</w:t>
            </w:r>
          </w:p>
        </w:tc>
        <w:tc>
          <w:tcPr>
            <w:tcW w:w="1795"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1759"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评价结果</w:t>
            </w:r>
          </w:p>
        </w:tc>
        <w:tc>
          <w:tcPr>
            <w:tcW w:w="5343" w:type="dxa"/>
            <w:gridSpan w:val="8"/>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仿宋_GB2312" w:hAnsi="sans-serif" w:eastAsia="仿宋_GB2312" w:cs="仿宋_GB2312"/>
                <w:sz w:val="24"/>
                <w:szCs w:val="24"/>
              </w:rPr>
              <w:t>优：</w:t>
            </w:r>
            <w:r>
              <w:rPr>
                <w:rFonts w:hint="default" w:ascii="Times New Roman" w:hAnsi="Times New Roman" w:eastAsia="仿宋_GB2312" w:cs="Times New Roman"/>
                <w:sz w:val="24"/>
                <w:szCs w:val="24"/>
              </w:rPr>
              <w:t>90</w:t>
            </w:r>
            <w:r>
              <w:rPr>
                <w:rFonts w:hint="eastAsia" w:ascii="仿宋_GB2312" w:hAnsi="sans-serif" w:eastAsia="仿宋_GB2312" w:cs="仿宋_GB2312"/>
                <w:sz w:val="24"/>
                <w:szCs w:val="24"/>
              </w:rPr>
              <w:t>分≤得分≤</w:t>
            </w:r>
            <w:r>
              <w:rPr>
                <w:rFonts w:hint="default" w:ascii="Times New Roman" w:hAnsi="Times New Roman" w:eastAsia="仿宋_GB2312" w:cs="Times New Roman"/>
                <w:sz w:val="24"/>
                <w:szCs w:val="24"/>
              </w:rPr>
              <w:t>100</w:t>
            </w:r>
            <w:r>
              <w:rPr>
                <w:rFonts w:hint="eastAsia" w:ascii="仿宋_GB2312" w:hAnsi="sans-serif" w:eastAsia="仿宋_GB2312" w:cs="仿宋_GB2312"/>
                <w:sz w:val="24"/>
                <w:szCs w:val="24"/>
              </w:rPr>
              <w:t>分；良：</w:t>
            </w:r>
            <w:r>
              <w:rPr>
                <w:rFonts w:hint="default" w:ascii="Times New Roman" w:hAnsi="Times New Roman" w:eastAsia="仿宋_GB2312" w:cs="Times New Roman"/>
                <w:sz w:val="24"/>
                <w:szCs w:val="24"/>
              </w:rPr>
              <w:t>80</w:t>
            </w:r>
            <w:r>
              <w:rPr>
                <w:rFonts w:hint="eastAsia" w:ascii="仿宋_GB2312" w:hAnsi="sans-serif" w:eastAsia="仿宋_GB2312" w:cs="仿宋_GB2312"/>
                <w:sz w:val="24"/>
                <w:szCs w:val="24"/>
              </w:rPr>
              <w:t>分≤得分</w:t>
            </w:r>
            <w:r>
              <w:rPr>
                <w:rFonts w:hint="default" w:ascii="Times New Roman" w:hAnsi="Times New Roman" w:eastAsia="仿宋_GB2312" w:cs="Times New Roman"/>
                <w:sz w:val="24"/>
                <w:szCs w:val="24"/>
              </w:rPr>
              <w:t>&lt;90</w:t>
            </w:r>
            <w:r>
              <w:rPr>
                <w:rFonts w:hint="eastAsia" w:ascii="仿宋_GB2312" w:hAnsi="sans-serif" w:eastAsia="仿宋_GB2312" w:cs="仿宋_GB2312"/>
                <w:sz w:val="24"/>
                <w:szCs w:val="24"/>
              </w:rPr>
              <w:t>分；中：</w:t>
            </w:r>
            <w:r>
              <w:rPr>
                <w:rFonts w:hint="default" w:ascii="Times New Roman" w:hAnsi="Times New Roman" w:eastAsia="仿宋_GB2312" w:cs="Times New Roman"/>
                <w:sz w:val="24"/>
                <w:szCs w:val="24"/>
              </w:rPr>
              <w:t>60</w:t>
            </w:r>
            <w:r>
              <w:rPr>
                <w:rFonts w:hint="eastAsia" w:ascii="仿宋_GB2312" w:hAnsi="sans-serif" w:eastAsia="仿宋_GB2312" w:cs="仿宋_GB2312"/>
                <w:sz w:val="24"/>
                <w:szCs w:val="24"/>
              </w:rPr>
              <w:t>分≤得分</w:t>
            </w:r>
            <w:r>
              <w:rPr>
                <w:rFonts w:hint="default" w:ascii="Times New Roman" w:hAnsi="Times New Roman" w:eastAsia="仿宋_GB2312" w:cs="Times New Roman"/>
                <w:sz w:val="24"/>
                <w:szCs w:val="24"/>
              </w:rPr>
              <w:t>&lt;80</w:t>
            </w:r>
            <w:r>
              <w:rPr>
                <w:rFonts w:hint="eastAsia" w:ascii="仿宋_GB2312" w:hAnsi="sans-serif" w:eastAsia="仿宋_GB2312" w:cs="仿宋_GB2312"/>
                <w:sz w:val="24"/>
                <w:szCs w:val="24"/>
              </w:rPr>
              <w:t>分；差：得分</w:t>
            </w:r>
            <w:r>
              <w:rPr>
                <w:rFonts w:hint="default" w:ascii="Times New Roman" w:hAnsi="Times New Roman" w:eastAsia="仿宋_GB2312" w:cs="Times New Roman"/>
                <w:sz w:val="24"/>
                <w:szCs w:val="24"/>
              </w:rPr>
              <w:t>&lt;60</w:t>
            </w:r>
            <w:r>
              <w:rPr>
                <w:rFonts w:hint="eastAsia" w:ascii="仿宋_GB2312" w:hAnsi="sans-serif" w:eastAsia="仿宋_GB2312" w:cs="仿宋_GB2312"/>
                <w:sz w:val="24"/>
                <w:szCs w:val="24"/>
              </w:rPr>
              <w:t>分</w:t>
            </w:r>
          </w:p>
        </w:tc>
        <w:tc>
          <w:tcPr>
            <w:tcW w:w="688" w:type="dxa"/>
            <w:gridSpan w:val="2"/>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sz w:val="21"/>
                <w:szCs w:val="21"/>
              </w:rPr>
              <w:t>优</w:t>
            </w:r>
          </w:p>
        </w:tc>
        <w:tc>
          <w:tcPr>
            <w:tcW w:w="1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sans-serif" w:cs="Times New Roman"/>
                <w:sz w:val="24"/>
                <w:szCs w:val="24"/>
              </w:rPr>
              <w:t>-</w:t>
            </w:r>
          </w:p>
        </w:tc>
      </w:tr>
    </w:tbl>
    <w:p>
      <w:pPr>
        <w:pStyle w:val="2"/>
        <w:keepNext w:val="0"/>
        <w:keepLines w:val="0"/>
        <w:widowControl/>
        <w:suppressLineNumbers w:val="0"/>
        <w:spacing w:before="0" w:beforeAutospacing="0" w:after="0" w:afterAutospacing="0" w:line="324" w:lineRule="auto"/>
        <w:ind w:left="0" w:right="0"/>
      </w:pPr>
      <w:r>
        <w:rPr>
          <w:rFonts w:hint="eastAsia" w:ascii="黑体" w:hAnsi="宋体" w:eastAsia="黑体" w:cs="黑体"/>
          <w:color w:val="000000"/>
          <w:sz w:val="31"/>
          <w:szCs w:val="31"/>
          <w:shd w:val="clear" w:fill="FFFFFF"/>
        </w:rPr>
        <w:t>3.</w:t>
      </w:r>
      <w:r>
        <w:rPr>
          <w:rStyle w:val="4"/>
          <w:rFonts w:hint="eastAsia" w:ascii="仿宋" w:hAnsi="仿宋" w:eastAsia="仿宋" w:cs="仿宋"/>
          <w:b/>
          <w:color w:val="000000"/>
          <w:sz w:val="31"/>
          <w:szCs w:val="31"/>
          <w:shd w:val="clear" w:fill="FFFFFF"/>
        </w:rPr>
        <w:t>财政评价项目绩效评价结果：无</w:t>
      </w:r>
    </w:p>
    <w:p>
      <w:pPr>
        <w:pStyle w:val="2"/>
        <w:keepNext w:val="0"/>
        <w:keepLines w:val="0"/>
        <w:widowControl/>
        <w:suppressLineNumbers w:val="0"/>
        <w:spacing w:before="0" w:beforeAutospacing="0" w:after="0" w:afterAutospacing="0" w:line="324" w:lineRule="auto"/>
        <w:ind w:left="0" w:right="0"/>
      </w:pPr>
      <w:r>
        <w:rPr>
          <w:rStyle w:val="4"/>
          <w:rFonts w:hint="eastAsia" w:ascii="黑体" w:hAnsi="宋体" w:eastAsia="黑体" w:cs="黑体"/>
          <w:b/>
          <w:color w:val="000000"/>
          <w:sz w:val="31"/>
          <w:szCs w:val="31"/>
          <w:shd w:val="clear" w:fill="FFFFFF"/>
        </w:rPr>
        <w:t>4.</w:t>
      </w:r>
      <w:r>
        <w:rPr>
          <w:rStyle w:val="4"/>
          <w:rFonts w:hint="eastAsia" w:ascii="仿宋" w:hAnsi="仿宋" w:eastAsia="仿宋" w:cs="仿宋"/>
          <w:b/>
          <w:color w:val="000000"/>
          <w:sz w:val="31"/>
          <w:szCs w:val="31"/>
          <w:shd w:val="clear" w:fill="FFFFFF"/>
        </w:rPr>
        <w:t>部门评价项目绩效评价结果：无</w:t>
      </w:r>
    </w:p>
    <w:p>
      <w:pPr>
        <w:pStyle w:val="2"/>
        <w:keepNext w:val="0"/>
        <w:keepLines w:val="0"/>
        <w:widowControl/>
        <w:suppressLineNumbers w:val="0"/>
        <w:spacing w:before="0" w:beforeAutospacing="0" w:after="0" w:afterAutospacing="0" w:line="324" w:lineRule="auto"/>
        <w:ind w:left="0" w:right="0" w:firstLine="645"/>
      </w:pPr>
      <w:r>
        <w:rPr>
          <w:rFonts w:hint="eastAsia" w:ascii="仿宋" w:hAnsi="仿宋" w:eastAsia="仿宋" w:cs="仿宋"/>
          <w:color w:val="000000"/>
          <w:sz w:val="31"/>
          <w:szCs w:val="31"/>
          <w:shd w:val="clear" w:fill="FFFFFF"/>
        </w:rPr>
        <w:t>说明：部门评价项目是指本部门自行开展的评价对象为本部门政策、项目、整体支出或下属单位整体支出的绩效评价；财政评价项目是指以由财政部门开展的评价对象为本部门政策、项目或整体支出的绩效评价项目。</w:t>
      </w:r>
    </w:p>
    <w:p>
      <w:pPr>
        <w:pStyle w:val="2"/>
        <w:keepNext w:val="0"/>
        <w:keepLines w:val="0"/>
        <w:widowControl/>
        <w:suppressLineNumbers w:val="0"/>
        <w:spacing w:before="0" w:beforeAutospacing="0" w:after="0" w:afterAutospacing="0" w:line="324" w:lineRule="auto"/>
        <w:ind w:left="0" w:right="0" w:firstLine="645"/>
      </w:pPr>
      <w:r>
        <w:rPr>
          <w:rStyle w:val="4"/>
          <w:rFonts w:hint="eastAsia" w:ascii="黑体" w:hAnsi="宋体" w:eastAsia="黑体" w:cs="黑体"/>
          <w:b/>
          <w:color w:val="000000"/>
          <w:sz w:val="31"/>
          <w:szCs w:val="31"/>
          <w:shd w:val="clear" w:fill="FFFFFF"/>
        </w:rPr>
        <w:t>四、名词解释</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1.财政拨款收入：指本级财政部门当年拨付的财政预算资金，包括一般公共预算财政拨款、政府性基金预算财政拨款和国有资本经预算财政拨款。</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2.事业收入：指事业单位开展专业业务活动及辅助活动所取得的收入。</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3.经营收入：指事业单位在专业业务活动及辅助活动之外开展非独立核算经营活动取得的收入。</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4.上级补助收入：指事业单位从主管部门和上级单位取得的非财政补助收入。</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5.附属单位上缴收入：指事业单位附属独立核算单位按照有关规定上缴的收入。</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6.其他收入：指预算单位在“财政拨款”、“事业收入”、“经营收入”、“上级补助收入”、“附属单位上缴收入”等之外取得的各项收入。</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7.使用非财政拨款结余：指事业单位使用以前年度积累的非财政拨款结余弥补当年收支差额的金额。</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8.年初结转和结余：指预算单位以前年度尚未完成、结转到本年仍按原规定用途继续使用的资金。</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9.年末结转和结余：指单位按有关规定结转到下年或以后年度继续使用的资金。</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10.基本支出：指预算单位为保障其正常运转，完成日常工作任务所发生的支出，包括人员经费支出和日常公用经费支出。</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11.项目支出：指预算单位为完成其特定的行政工作任务或事业发展目标所发生的支出。</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12.上缴上级支出：填列事业单位按照财政部门和主管部门的规定上缴上级单位的支出。</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13.经营支出：指事业单位在专业业务活动及其辅助活动之外开展非独立核算经营活动发生的支出。</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14.附属单位补助支出：填列事业单位用财政补助收入之外的收入对附属单位补助发生的支出。</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324" w:lineRule="auto"/>
        <w:ind w:left="0" w:right="0" w:firstLine="600"/>
      </w:pPr>
      <w:r>
        <w:rPr>
          <w:rFonts w:hint="eastAsia" w:ascii="仿宋" w:hAnsi="仿宋" w:eastAsia="仿宋" w:cs="仿宋"/>
          <w:color w:val="000000"/>
          <w:sz w:val="31"/>
          <w:szCs w:val="31"/>
          <w:shd w:val="clear" w:fill="FFFFFF"/>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widowControl/>
        <w:suppressLineNumbers w:val="0"/>
        <w:spacing w:before="0" w:beforeAutospacing="0" w:after="0" w:afterAutospacing="0" w:line="555" w:lineRule="atLeast"/>
        <w:ind w:left="0" w:right="0" w:firstLine="600"/>
      </w:pPr>
      <w:r>
        <w:rPr>
          <w:rFonts w:hint="eastAsia" w:ascii="仿宋_GB2312" w:eastAsia="仿宋_GB2312" w:cs="仿宋_GB2312"/>
          <w:color w:val="000000"/>
          <w:sz w:val="31"/>
          <w:szCs w:val="31"/>
          <w:shd w:val="clear" w:fill="FFFFFF"/>
        </w:rPr>
        <w:t>17.</w:t>
      </w:r>
      <w:r>
        <w:rPr>
          <w:rFonts w:hint="eastAsia" w:ascii="仿宋_GB2312" w:eastAsia="仿宋_GB2312" w:cs="仿宋_GB2312"/>
          <w:color w:val="3D3D3D"/>
          <w:spacing w:val="-15"/>
          <w:sz w:val="31"/>
          <w:szCs w:val="31"/>
        </w:rPr>
        <w:t>教育支出(类）进修及培训（款）培训支出（项）</w:t>
      </w:r>
      <w:r>
        <w:rPr>
          <w:rFonts w:hint="eastAsia" w:ascii="仿宋_GB2312" w:eastAsia="仿宋_GB2312" w:cs="仿宋_GB2312"/>
          <w:color w:val="000000"/>
          <w:sz w:val="31"/>
          <w:szCs w:val="31"/>
          <w:shd w:val="clear" w:fill="FFFFFF"/>
        </w:rPr>
        <w:t>：反映上述项目以外其他用于教育方面的支出。</w:t>
      </w:r>
    </w:p>
    <w:p>
      <w:pPr>
        <w:pStyle w:val="2"/>
        <w:keepNext w:val="0"/>
        <w:keepLines w:val="0"/>
        <w:widowControl/>
        <w:suppressLineNumbers w:val="0"/>
        <w:spacing w:before="0" w:beforeAutospacing="0" w:after="0" w:afterAutospacing="0" w:line="555" w:lineRule="atLeast"/>
        <w:ind w:left="0" w:right="0" w:firstLine="600"/>
      </w:pPr>
      <w:r>
        <w:rPr>
          <w:rFonts w:hint="eastAsia" w:ascii="仿宋_GB2312" w:eastAsia="仿宋_GB2312" w:cs="仿宋_GB2312"/>
          <w:color w:val="000000"/>
          <w:sz w:val="31"/>
          <w:szCs w:val="31"/>
          <w:shd w:val="clear" w:fill="FFFFFF"/>
        </w:rPr>
        <w:t>18.</w:t>
      </w:r>
      <w:r>
        <w:rPr>
          <w:rFonts w:hint="eastAsia" w:ascii="仿宋_GB2312" w:eastAsia="仿宋_GB2312" w:cs="仿宋_GB2312"/>
          <w:color w:val="3D3D3D"/>
          <w:sz w:val="31"/>
          <w:szCs w:val="31"/>
        </w:rPr>
        <w:t>社会保障和就业支出（类）行政事业单位养老支出（款）  机关事业单位基本养老保险缴费支出（项）:反映机关事业养老保险制度由单位缴纳的基本养老保险费支出。</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color w:val="3D3D3D"/>
          <w:sz w:val="31"/>
          <w:szCs w:val="31"/>
        </w:rPr>
        <w:t>19.社会保障和就业支出（类）行政事业单位养老支出（款）  机关事业单位职业年金缴费支出（项）：反映机关事业养老保险制度由单位实际缴纳的职业年金支出。</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color w:val="3D3D3D"/>
          <w:sz w:val="31"/>
          <w:szCs w:val="31"/>
        </w:rPr>
        <w:t>20.社会保障和就业支出（类）行政事业单位养老支出（款）  其他行政事业单位养老支出（项）：反映指除上述项目以外行政事业单位其他养老方面的支出。</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color w:val="3D3D3D"/>
          <w:sz w:val="31"/>
          <w:szCs w:val="31"/>
        </w:rPr>
        <w:t>21.卫生健康支出（类）行政事业单位医疗（款）事业单位医疗（项）：反映财政部门安排的事业单位基本医疗保险缴费经费，未参加医疗保险的行政单位的公费医疗经费，按国家规定享受离休人员待遇医疗经费。</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color w:val="3D3D3D"/>
          <w:sz w:val="31"/>
          <w:szCs w:val="31"/>
        </w:rPr>
        <w:t>22.自然资源海洋气象等支出（类）自然资源事务（款）</w:t>
      </w:r>
      <w:r>
        <w:rPr>
          <w:rFonts w:hint="eastAsia" w:ascii="仿宋_GB2312" w:eastAsia="仿宋_GB2312" w:cs="仿宋_GB2312"/>
          <w:color w:val="000000"/>
          <w:spacing w:val="-15"/>
          <w:sz w:val="31"/>
          <w:szCs w:val="31"/>
        </w:rPr>
        <w:t>自然资源调查与确权登记</w:t>
      </w:r>
      <w:r>
        <w:rPr>
          <w:rFonts w:hint="eastAsia" w:ascii="仿宋_GB2312" w:eastAsia="仿宋_GB2312" w:cs="仿宋_GB2312"/>
          <w:color w:val="3D3D3D"/>
          <w:sz w:val="31"/>
          <w:szCs w:val="31"/>
        </w:rPr>
        <w:t>（项）:反映自然资源部门用于</w:t>
      </w:r>
      <w:r>
        <w:rPr>
          <w:rFonts w:hint="eastAsia" w:ascii="仿宋_GB2312" w:eastAsia="仿宋_GB2312" w:cs="仿宋_GB2312"/>
          <w:color w:val="000000"/>
          <w:spacing w:val="-15"/>
          <w:sz w:val="31"/>
          <w:szCs w:val="31"/>
        </w:rPr>
        <w:t>自然资源调查与确权登记</w:t>
      </w:r>
      <w:r>
        <w:rPr>
          <w:rFonts w:hint="eastAsia" w:ascii="仿宋_GB2312" w:eastAsia="仿宋_GB2312" w:cs="仿宋_GB2312"/>
          <w:color w:val="3D3D3D"/>
          <w:sz w:val="31"/>
          <w:szCs w:val="31"/>
        </w:rPr>
        <w:t>的支出。</w:t>
      </w:r>
    </w:p>
    <w:p>
      <w:pPr>
        <w:pStyle w:val="2"/>
        <w:keepNext w:val="0"/>
        <w:keepLines w:val="0"/>
        <w:widowControl/>
        <w:suppressLineNumbers w:val="0"/>
        <w:spacing w:before="0" w:beforeAutospacing="0" w:after="0" w:afterAutospacing="0" w:line="555" w:lineRule="atLeast"/>
        <w:ind w:left="0" w:right="0" w:firstLine="570"/>
      </w:pPr>
      <w:r>
        <w:rPr>
          <w:rFonts w:hint="eastAsia" w:ascii="仿宋_GB2312" w:eastAsia="仿宋_GB2312" w:cs="仿宋_GB2312"/>
          <w:color w:val="000000"/>
          <w:spacing w:val="-15"/>
          <w:sz w:val="31"/>
          <w:szCs w:val="31"/>
        </w:rPr>
        <w:t>23.自然资源海洋气象等支出（类）自然资源事务（款）事业运行（项）：</w:t>
      </w:r>
      <w:r>
        <w:rPr>
          <w:rFonts w:hint="eastAsia" w:ascii="仿宋_GB2312" w:eastAsia="仿宋_GB2312" w:cs="仿宋_GB2312"/>
          <w:color w:val="333333"/>
          <w:sz w:val="31"/>
          <w:szCs w:val="31"/>
          <w:shd w:val="clear" w:fill="F9F9F9"/>
        </w:rPr>
        <w:t>反映事业单位的基本支出,不包括行政单位（含实行公务员管更换事业单位）后勤服务中心等附属事业单位的支出。</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color w:val="333333"/>
          <w:sz w:val="31"/>
          <w:szCs w:val="31"/>
          <w:shd w:val="clear" w:fill="F9F9F9"/>
        </w:rPr>
        <w:t>24.住房保障支出（类）住房改革支出（款）住房公积金（项）:反映行政事业单位用于按人力资源和社会保障部、财政部规定的基本工资和津贴补贴以及规定比例为职工缴纳的住房公积金。</w:t>
      </w:r>
    </w:p>
    <w:p>
      <w:pPr>
        <w:pStyle w:val="2"/>
        <w:keepNext w:val="0"/>
        <w:keepLines w:val="0"/>
        <w:widowControl/>
        <w:suppressLineNumbers w:val="0"/>
      </w:pPr>
      <w:r>
        <w:rPr>
          <w:bdr w:val="none" w:color="auto" w:sz="0" w:space="0"/>
        </w:rPr>
        <w:t> </w:t>
      </w:r>
    </w:p>
    <w:p>
      <w:pPr>
        <w:pStyle w:val="2"/>
        <w:keepNext w:val="0"/>
        <w:keepLines w:val="0"/>
        <w:widowControl/>
        <w:suppressLineNumbers w:val="0"/>
      </w:pPr>
      <w:r>
        <w:rPr>
          <w:bdr w:val="none" w:color="auto" w:sz="0" w:space="0"/>
        </w:rPr>
        <w:t> </w:t>
      </w:r>
    </w:p>
    <w:p>
      <w:pPr>
        <w:pStyle w:val="2"/>
        <w:keepNext w:val="0"/>
        <w:keepLines w:val="0"/>
        <w:widowControl/>
        <w:suppressLineNumbers w:val="0"/>
      </w:pPr>
      <w:r>
        <w:rPr>
          <w:bdr w:val="none" w:color="auto" w:sz="0" w:space="0"/>
        </w:rPr>
        <w:t> </w:t>
      </w:r>
    </w:p>
    <w:p>
      <w:pPr>
        <w:pStyle w:val="2"/>
        <w:keepNext w:val="0"/>
        <w:keepLines w:val="0"/>
        <w:widowControl/>
        <w:suppressLineNumbers w:val="0"/>
      </w:pPr>
      <w:r>
        <w:rPr>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355F7"/>
    <w:multiLevelType w:val="multilevel"/>
    <w:tmpl w:val="61F355F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402A7"/>
    <w:rsid w:val="351402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line="420" w:lineRule="atLeast"/>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single"/>
    </w:rPr>
  </w:style>
  <w:style w:type="character" w:styleId="6">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市国土资源局</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2022-01-28T02:25:00Z</dcterms:created>
  <dc:creator>汪哲恺</dc:creator>
  <cp:lastModifiedBy>汪哲恺</cp:lastModifiedBy>
  <dcterms:modified xsi:type="dcterms:W3CDTF">2022-01-28T02:26:14Z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