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58" w:name="_GoBack"/>
      <w:bookmarkEnd w:id="58"/>
      <w:r>
        <w:rPr>
          <w:rFonts w:hint="eastAsia" w:ascii="方正小标宋简体" w:hAnsi="方正小标宋简体" w:eastAsia="方正小标宋简体" w:cs="方正小标宋简体"/>
          <w:sz w:val="44"/>
          <w:szCs w:val="44"/>
        </w:rPr>
        <w:t>金华市自然资源征收中心</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2021年度单位决算</w:t>
      </w:r>
    </w:p>
    <w:sdt>
      <w:sdtPr>
        <w:rPr>
          <w:rFonts w:hint="eastAsia" w:ascii="方正小标宋简体" w:hAnsi="方正小标宋简体" w:eastAsia="方正小标宋简体" w:cs="方正小标宋简体"/>
          <w:b w:val="0"/>
          <w:bCs w:val="0"/>
          <w:sz w:val="44"/>
          <w:szCs w:val="44"/>
          <w:lang w:val="en-US" w:eastAsia="zh-CN" w:bidi="ar-SA"/>
        </w:rPr>
        <w:id w:val="147477179"/>
      </w:sdtPr>
      <w:sdtEndPr>
        <w:rPr>
          <w:rFonts w:hint="eastAsia" w:asciiTheme="minorEastAsia" w:hAnsiTheme="minorEastAsia" w:eastAsiaTheme="minorEastAsia" w:cstheme="minorEastAsia"/>
          <w:b w:val="0"/>
          <w:bCs w:val="0"/>
          <w:sz w:val="22"/>
          <w:szCs w:val="22"/>
          <w:lang w:val="en-US" w:eastAsia="zh-CN" w:bidi="ar-SA"/>
        </w:rPr>
      </w:sdtEndPr>
      <w:sdtContent>
        <w:sdt>
          <w:sdtPr>
            <w:rPr>
              <w:rFonts w:hint="eastAsia" w:ascii="方正小标宋简体" w:hAnsi="方正小标宋简体" w:eastAsia="方正小标宋简体" w:cs="方正小标宋简体"/>
              <w:b w:val="0"/>
              <w:bCs w:val="0"/>
              <w:sz w:val="44"/>
              <w:szCs w:val="44"/>
              <w:lang w:val="en-US" w:eastAsia="zh-CN" w:bidi="ar-SA"/>
            </w:rPr>
            <w:id w:val="147473571"/>
          </w:sdtPr>
          <w:sdtEndPr>
            <w:rPr>
              <w:rFonts w:hint="eastAsia" w:asciiTheme="minorEastAsia" w:hAnsiTheme="minorEastAsia" w:eastAsiaTheme="minorEastAsia" w:cstheme="minorEastAsia"/>
              <w:b w:val="0"/>
              <w:bCs w:val="0"/>
              <w:sz w:val="28"/>
              <w:szCs w:val="28"/>
              <w:lang w:val="en-US" w:eastAsia="zh-CN" w:bidi="ar-SA"/>
            </w:rPr>
          </w:sdtEndPr>
          <w:sdtContent>
            <w:p>
              <w:pPr>
                <w:spacing w:before="0" w:beforeLines="0" w:after="0" w:afterLines="0" w:line="240" w:lineRule="auto"/>
                <w:ind w:left="0" w:leftChars="0" w:right="0" w:rightChars="0" w:firstLine="0" w:firstLineChars="0"/>
                <w:jc w:val="center"/>
              </w:pPr>
              <w:bookmarkStart w:id="0" w:name="_Toc23293_WPSOffice_Type2"/>
              <w:r>
                <w:rPr>
                  <w:rFonts w:hint="eastAsia" w:ascii="方正小标宋简体" w:hAnsi="方正小标宋简体" w:eastAsia="方正小标宋简体" w:cs="方正小标宋简体"/>
                  <w:sz w:val="44"/>
                  <w:szCs w:val="44"/>
                </w:rPr>
                <w:t>目录</w:t>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_Toc13612_WPSOffice_Level1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638deec5-5dc1-4519-839b-542556f57ff6}"/>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一、概况</w:t>
                  </w:r>
                </w:sdtContent>
              </w:sdt>
              <w:r>
                <w:rPr>
                  <w:rFonts w:hint="eastAsia" w:asciiTheme="minorEastAsia" w:hAnsiTheme="minorEastAsia" w:eastAsiaTheme="minorEastAsia" w:cstheme="minorEastAsia"/>
                  <w:b w:val="0"/>
                  <w:bCs w:val="0"/>
                  <w:sz w:val="28"/>
                  <w:szCs w:val="28"/>
                </w:rPr>
                <w:tab/>
              </w:r>
              <w:bookmarkStart w:id="1" w:name="_Toc13612_WPSOffice_Level1Page"/>
              <w:r>
                <w:rPr>
                  <w:rFonts w:hint="eastAsia" w:asciiTheme="minorEastAsia" w:hAnsiTheme="minorEastAsia" w:eastAsiaTheme="minorEastAsia" w:cstheme="minorEastAsia"/>
                  <w:b w:val="0"/>
                  <w:bCs w:val="0"/>
                  <w:sz w:val="28"/>
                  <w:szCs w:val="28"/>
                </w:rPr>
                <w:t>1</w:t>
              </w:r>
              <w:bookmarkEnd w:id="1"/>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_Toc23293_WPSOffice_Level2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14447341-9983-4048-bfa8-b3a6900c25ca}"/>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（一）单位职责</w:t>
                  </w:r>
                </w:sdtContent>
              </w:sdt>
              <w:r>
                <w:rPr>
                  <w:rFonts w:hint="eastAsia" w:asciiTheme="minorEastAsia" w:hAnsiTheme="minorEastAsia" w:eastAsiaTheme="minorEastAsia" w:cstheme="minorEastAsia"/>
                  <w:b w:val="0"/>
                  <w:bCs w:val="0"/>
                  <w:sz w:val="28"/>
                  <w:szCs w:val="28"/>
                </w:rPr>
                <w:tab/>
              </w:r>
              <w:bookmarkStart w:id="2" w:name="_Toc23293_WPSOffice_Level2Page"/>
              <w:r>
                <w:rPr>
                  <w:rFonts w:hint="eastAsia" w:asciiTheme="minorEastAsia" w:hAnsiTheme="minorEastAsia" w:eastAsiaTheme="minorEastAsia" w:cstheme="minorEastAsia"/>
                  <w:b w:val="0"/>
                  <w:bCs w:val="0"/>
                  <w:sz w:val="28"/>
                  <w:szCs w:val="28"/>
                </w:rPr>
                <w:t>1</w:t>
              </w:r>
              <w:bookmarkEnd w:id="2"/>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_Toc10464_WPSOffice_Level2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43cdc111-4950-4c33-a6c6-6be32124c1a0}"/>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（二）机构设置</w:t>
                  </w:r>
                </w:sdtContent>
              </w:sdt>
              <w:r>
                <w:rPr>
                  <w:rFonts w:hint="eastAsia" w:asciiTheme="minorEastAsia" w:hAnsiTheme="minorEastAsia" w:eastAsiaTheme="minorEastAsia" w:cstheme="minorEastAsia"/>
                  <w:b w:val="0"/>
                  <w:bCs w:val="0"/>
                  <w:sz w:val="28"/>
                  <w:szCs w:val="28"/>
                </w:rPr>
                <w:tab/>
              </w:r>
              <w:bookmarkStart w:id="3" w:name="_Toc10464_WPSOffice_Level2Page"/>
              <w:r>
                <w:rPr>
                  <w:rFonts w:hint="eastAsia" w:asciiTheme="minorEastAsia" w:hAnsiTheme="minorEastAsia" w:eastAsiaTheme="minorEastAsia" w:cstheme="minorEastAsia"/>
                  <w:b w:val="0"/>
                  <w:bCs w:val="0"/>
                  <w:sz w:val="28"/>
                  <w:szCs w:val="28"/>
                </w:rPr>
                <w:t>1</w:t>
              </w:r>
              <w:bookmarkEnd w:id="3"/>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_Toc23293_WPSOffice_Level1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c21e24de-8592-4c09-9440-8ce6a4f2e4fa}"/>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二、2021年度单位决算公开表</w:t>
                  </w:r>
                </w:sdtContent>
              </w:sdt>
              <w:r>
                <w:rPr>
                  <w:rFonts w:hint="eastAsia" w:asciiTheme="minorEastAsia" w:hAnsiTheme="minorEastAsia" w:eastAsiaTheme="minorEastAsia" w:cstheme="minorEastAsia"/>
                  <w:b w:val="0"/>
                  <w:bCs w:val="0"/>
                  <w:sz w:val="28"/>
                  <w:szCs w:val="28"/>
                </w:rPr>
                <w:tab/>
              </w:r>
              <w:bookmarkStart w:id="4" w:name="_Toc23293_WPSOffice_Level1Page"/>
              <w:r>
                <w:rPr>
                  <w:rFonts w:hint="eastAsia" w:asciiTheme="minorEastAsia" w:hAnsiTheme="minorEastAsia" w:eastAsiaTheme="minorEastAsia" w:cstheme="minorEastAsia"/>
                  <w:b w:val="0"/>
                  <w:bCs w:val="0"/>
                  <w:sz w:val="28"/>
                  <w:szCs w:val="28"/>
                </w:rPr>
                <w:t>1</w:t>
              </w:r>
              <w:bookmarkEnd w:id="4"/>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_Toc10464_WPSOffice_Level1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04dc21a4-39e9-43fd-9b17-937c40079ddd}"/>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三、2021年度单位决算情况说明</w:t>
                  </w:r>
                </w:sdtContent>
              </w:sdt>
              <w:r>
                <w:rPr>
                  <w:rFonts w:hint="eastAsia" w:asciiTheme="minorEastAsia" w:hAnsiTheme="minorEastAsia" w:eastAsiaTheme="minorEastAsia" w:cstheme="minorEastAsia"/>
                  <w:b w:val="0"/>
                  <w:bCs w:val="0"/>
                  <w:sz w:val="28"/>
                  <w:szCs w:val="28"/>
                </w:rPr>
                <w:tab/>
              </w:r>
              <w:bookmarkStart w:id="5" w:name="_Toc10464_WPSOffice_Level1Page"/>
              <w:r>
                <w:rPr>
                  <w:rFonts w:hint="eastAsia" w:asciiTheme="minorEastAsia" w:hAnsiTheme="minorEastAsia" w:eastAsiaTheme="minorEastAsia" w:cstheme="minorEastAsia"/>
                  <w:b w:val="0"/>
                  <w:bCs w:val="0"/>
                  <w:sz w:val="28"/>
                  <w:szCs w:val="28"/>
                </w:rPr>
                <w:t>1</w:t>
              </w:r>
              <w:bookmarkEnd w:id="5"/>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_Toc14097_WPSOffice_Level2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a97bb5c8-7d7a-4cf4-9524-8ad277fe7f5d}"/>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（一）收入支出决算总体情况说明</w:t>
                  </w:r>
                </w:sdtContent>
              </w:sdt>
              <w:r>
                <w:rPr>
                  <w:rFonts w:hint="eastAsia" w:asciiTheme="minorEastAsia" w:hAnsiTheme="minorEastAsia" w:eastAsiaTheme="minorEastAsia" w:cstheme="minorEastAsia"/>
                  <w:b w:val="0"/>
                  <w:bCs w:val="0"/>
                  <w:sz w:val="28"/>
                  <w:szCs w:val="28"/>
                </w:rPr>
                <w:tab/>
              </w:r>
              <w:bookmarkStart w:id="6" w:name="_Toc14097_WPSOffice_Level2Page"/>
              <w:r>
                <w:rPr>
                  <w:rFonts w:hint="eastAsia" w:asciiTheme="minorEastAsia" w:hAnsiTheme="minorEastAsia" w:eastAsiaTheme="minorEastAsia" w:cstheme="minorEastAsia"/>
                  <w:b w:val="0"/>
                  <w:bCs w:val="0"/>
                  <w:sz w:val="28"/>
                  <w:szCs w:val="28"/>
                </w:rPr>
                <w:t>1</w:t>
              </w:r>
              <w:bookmarkEnd w:id="6"/>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_Toc20060_WPSOffice_Level2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1de506fa-4556-4a39-bbed-661537b8f7e7}"/>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（二）收入决算情况说明</w:t>
                  </w:r>
                </w:sdtContent>
              </w:sdt>
              <w:r>
                <w:rPr>
                  <w:rFonts w:hint="eastAsia" w:asciiTheme="minorEastAsia" w:hAnsiTheme="minorEastAsia" w:eastAsiaTheme="minorEastAsia" w:cstheme="minorEastAsia"/>
                  <w:b w:val="0"/>
                  <w:bCs w:val="0"/>
                  <w:sz w:val="28"/>
                  <w:szCs w:val="28"/>
                </w:rPr>
                <w:tab/>
              </w:r>
              <w:bookmarkStart w:id="7" w:name="_Toc20060_WPSOffice_Level2Page"/>
              <w:r>
                <w:rPr>
                  <w:rFonts w:hint="eastAsia" w:asciiTheme="minorEastAsia" w:hAnsiTheme="minorEastAsia" w:eastAsiaTheme="minorEastAsia" w:cstheme="minorEastAsia"/>
                  <w:b w:val="0"/>
                  <w:bCs w:val="0"/>
                  <w:sz w:val="28"/>
                  <w:szCs w:val="28"/>
                </w:rPr>
                <w:t>1</w:t>
              </w:r>
              <w:bookmarkEnd w:id="7"/>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_Toc1683_WPSOffice_Level2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3fa74d64-5e8a-475f-b646-abf9ff515275}"/>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（三）支出决算情况说明</w:t>
                  </w:r>
                </w:sdtContent>
              </w:sdt>
              <w:r>
                <w:rPr>
                  <w:rFonts w:hint="eastAsia" w:asciiTheme="minorEastAsia" w:hAnsiTheme="minorEastAsia" w:eastAsiaTheme="minorEastAsia" w:cstheme="minorEastAsia"/>
                  <w:b w:val="0"/>
                  <w:bCs w:val="0"/>
                  <w:sz w:val="28"/>
                  <w:szCs w:val="28"/>
                </w:rPr>
                <w:tab/>
              </w:r>
              <w:bookmarkStart w:id="8" w:name="_Toc1683_WPSOffice_Level2Page"/>
              <w:r>
                <w:rPr>
                  <w:rFonts w:hint="eastAsia" w:asciiTheme="minorEastAsia" w:hAnsiTheme="minorEastAsia" w:eastAsiaTheme="minorEastAsia" w:cstheme="minorEastAsia"/>
                  <w:b w:val="0"/>
                  <w:bCs w:val="0"/>
                  <w:sz w:val="28"/>
                  <w:szCs w:val="28"/>
                </w:rPr>
                <w:t>2</w:t>
              </w:r>
              <w:bookmarkEnd w:id="8"/>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_Toc22678_WPSOffice_Level2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25541cf9-bb5b-4e84-8404-03514220d9ef}"/>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（四）财政拨款收入支出决算总体情况说明</w:t>
                  </w:r>
                </w:sdtContent>
              </w:sdt>
              <w:r>
                <w:rPr>
                  <w:rFonts w:hint="eastAsia" w:asciiTheme="minorEastAsia" w:hAnsiTheme="minorEastAsia" w:eastAsiaTheme="minorEastAsia" w:cstheme="minorEastAsia"/>
                  <w:b w:val="0"/>
                  <w:bCs w:val="0"/>
                  <w:sz w:val="28"/>
                  <w:szCs w:val="28"/>
                </w:rPr>
                <w:tab/>
              </w:r>
              <w:bookmarkStart w:id="9" w:name="_Toc22678_WPSOffice_Level2Page"/>
              <w:r>
                <w:rPr>
                  <w:rFonts w:hint="eastAsia" w:asciiTheme="minorEastAsia" w:hAnsiTheme="minorEastAsia" w:eastAsiaTheme="minorEastAsia" w:cstheme="minorEastAsia"/>
                  <w:b w:val="0"/>
                  <w:bCs w:val="0"/>
                  <w:sz w:val="28"/>
                  <w:szCs w:val="28"/>
                </w:rPr>
                <w:t>2</w:t>
              </w:r>
              <w:bookmarkEnd w:id="9"/>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_Toc21449_WPSOffice_Level2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1ea663bd-f2f6-4443-8676-827b3ed54826}"/>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（五）一般公共预算财政拨款支出决算情况说明</w:t>
                  </w:r>
                </w:sdtContent>
              </w:sdt>
              <w:r>
                <w:rPr>
                  <w:rFonts w:hint="eastAsia" w:asciiTheme="minorEastAsia" w:hAnsiTheme="minorEastAsia" w:eastAsiaTheme="minorEastAsia" w:cstheme="minorEastAsia"/>
                  <w:b w:val="0"/>
                  <w:bCs w:val="0"/>
                  <w:sz w:val="28"/>
                  <w:szCs w:val="28"/>
                </w:rPr>
                <w:tab/>
              </w:r>
              <w:bookmarkStart w:id="10" w:name="_Toc21449_WPSOffice_Level2Page"/>
              <w:r>
                <w:rPr>
                  <w:rFonts w:hint="eastAsia" w:asciiTheme="minorEastAsia" w:hAnsiTheme="minorEastAsia" w:eastAsiaTheme="minorEastAsia" w:cstheme="minorEastAsia"/>
                  <w:b w:val="0"/>
                  <w:bCs w:val="0"/>
                  <w:sz w:val="28"/>
                  <w:szCs w:val="28"/>
                </w:rPr>
                <w:t>2</w:t>
              </w:r>
              <w:bookmarkEnd w:id="10"/>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_Toc10986_WPSOffice_Level2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34ff5a3e-f138-4122-af57-fb590401be98}"/>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（六）一般公共预算财政拨款基本支出决算情况说明</w:t>
                  </w:r>
                </w:sdtContent>
              </w:sdt>
              <w:r>
                <w:rPr>
                  <w:rFonts w:hint="eastAsia" w:asciiTheme="minorEastAsia" w:hAnsiTheme="minorEastAsia" w:eastAsiaTheme="minorEastAsia" w:cstheme="minorEastAsia"/>
                  <w:b w:val="0"/>
                  <w:bCs w:val="0"/>
                  <w:sz w:val="28"/>
                  <w:szCs w:val="28"/>
                </w:rPr>
                <w:tab/>
              </w:r>
              <w:bookmarkStart w:id="11" w:name="_Toc10986_WPSOffice_Level2Page"/>
              <w:r>
                <w:rPr>
                  <w:rFonts w:hint="eastAsia" w:asciiTheme="minorEastAsia" w:hAnsiTheme="minorEastAsia" w:eastAsiaTheme="minorEastAsia" w:cstheme="minorEastAsia"/>
                  <w:b w:val="0"/>
                  <w:bCs w:val="0"/>
                  <w:sz w:val="28"/>
                  <w:szCs w:val="28"/>
                </w:rPr>
                <w:t>4</w:t>
              </w:r>
              <w:bookmarkEnd w:id="11"/>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_Toc13830_WPSOffice_Level2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b5442864-ef9e-4f86-b82f-51163e4d5d44}"/>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（七）政府性基金预算财政拨款支出决算总体情况说明</w:t>
                  </w:r>
                </w:sdtContent>
              </w:sdt>
              <w:r>
                <w:rPr>
                  <w:rFonts w:hint="eastAsia" w:asciiTheme="minorEastAsia" w:hAnsiTheme="minorEastAsia" w:eastAsiaTheme="minorEastAsia" w:cstheme="minorEastAsia"/>
                  <w:b w:val="0"/>
                  <w:bCs w:val="0"/>
                  <w:sz w:val="28"/>
                  <w:szCs w:val="28"/>
                </w:rPr>
                <w:tab/>
              </w:r>
              <w:bookmarkStart w:id="12" w:name="_Toc13830_WPSOffice_Level2Page"/>
              <w:r>
                <w:rPr>
                  <w:rFonts w:hint="eastAsia" w:asciiTheme="minorEastAsia" w:hAnsiTheme="minorEastAsia" w:eastAsiaTheme="minorEastAsia" w:cstheme="minorEastAsia"/>
                  <w:b w:val="0"/>
                  <w:bCs w:val="0"/>
                  <w:sz w:val="28"/>
                  <w:szCs w:val="28"/>
                </w:rPr>
                <w:t>5</w:t>
              </w:r>
              <w:bookmarkEnd w:id="12"/>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_Toc25382_WPSOffice_Level2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839a3f7b-73f8-4486-b4b2-14b1390b718b}"/>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（八）国有资本经营预算财政拨款支出决算总体情况说明</w:t>
                  </w:r>
                </w:sdtContent>
              </w:sdt>
              <w:r>
                <w:rPr>
                  <w:rFonts w:hint="eastAsia" w:asciiTheme="minorEastAsia" w:hAnsiTheme="minorEastAsia" w:eastAsiaTheme="minorEastAsia" w:cstheme="minorEastAsia"/>
                  <w:b w:val="0"/>
                  <w:bCs w:val="0"/>
                  <w:sz w:val="28"/>
                  <w:szCs w:val="28"/>
                </w:rPr>
                <w:tab/>
              </w:r>
              <w:bookmarkStart w:id="13" w:name="_Toc25382_WPSOffice_Level2Page"/>
              <w:r>
                <w:rPr>
                  <w:rFonts w:hint="eastAsia" w:asciiTheme="minorEastAsia" w:hAnsiTheme="minorEastAsia" w:eastAsiaTheme="minorEastAsia" w:cstheme="minorEastAsia"/>
                  <w:b w:val="0"/>
                  <w:bCs w:val="0"/>
                  <w:sz w:val="28"/>
                  <w:szCs w:val="28"/>
                </w:rPr>
                <w:t>6</w:t>
              </w:r>
              <w:bookmarkEnd w:id="13"/>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_Toc12447_WPSOffice_Level2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41698b96-8f91-43fe-9165-994387a5611c}"/>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（九）一般公共预算财政拨款“三公”经费支出决算情况说明</w:t>
                  </w:r>
                </w:sdtContent>
              </w:sdt>
              <w:r>
                <w:rPr>
                  <w:rFonts w:hint="eastAsia" w:asciiTheme="minorEastAsia" w:hAnsiTheme="minorEastAsia" w:eastAsiaTheme="minorEastAsia" w:cstheme="minorEastAsia"/>
                  <w:b w:val="0"/>
                  <w:bCs w:val="0"/>
                  <w:sz w:val="28"/>
                  <w:szCs w:val="28"/>
                </w:rPr>
                <w:tab/>
              </w:r>
              <w:bookmarkStart w:id="14" w:name="_Toc12447_WPSOffice_Level2Page"/>
              <w:r>
                <w:rPr>
                  <w:rFonts w:hint="eastAsia" w:asciiTheme="minorEastAsia" w:hAnsiTheme="minorEastAsia" w:eastAsiaTheme="minorEastAsia" w:cstheme="minorEastAsia"/>
                  <w:b w:val="0"/>
                  <w:bCs w:val="0"/>
                  <w:sz w:val="28"/>
                  <w:szCs w:val="28"/>
                </w:rPr>
                <w:t>6</w:t>
              </w:r>
              <w:bookmarkEnd w:id="14"/>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_Toc18711_WPSOffice_Level2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4472c7f0-1cd2-4188-8da5-679da11e535d}"/>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（十）机关运行经费支出说明</w:t>
                  </w:r>
                </w:sdtContent>
              </w:sdt>
              <w:r>
                <w:rPr>
                  <w:rFonts w:hint="eastAsia" w:asciiTheme="minorEastAsia" w:hAnsiTheme="minorEastAsia" w:eastAsiaTheme="minorEastAsia" w:cstheme="minorEastAsia"/>
                  <w:b w:val="0"/>
                  <w:bCs w:val="0"/>
                  <w:sz w:val="28"/>
                  <w:szCs w:val="28"/>
                </w:rPr>
                <w:tab/>
              </w:r>
              <w:bookmarkStart w:id="15" w:name="_Toc18711_WPSOffice_Level2Page"/>
              <w:r>
                <w:rPr>
                  <w:rFonts w:hint="eastAsia" w:asciiTheme="minorEastAsia" w:hAnsiTheme="minorEastAsia" w:eastAsiaTheme="minorEastAsia" w:cstheme="minorEastAsia"/>
                  <w:b w:val="0"/>
                  <w:bCs w:val="0"/>
                  <w:sz w:val="28"/>
                  <w:szCs w:val="28"/>
                </w:rPr>
                <w:t>8</w:t>
              </w:r>
              <w:bookmarkEnd w:id="15"/>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_Toc16050_WPSOffice_Level2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216a910b-9aed-464e-9bb2-ff78e19beb41}"/>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（十一）政府采购支出说明</w:t>
                  </w:r>
                </w:sdtContent>
              </w:sdt>
              <w:r>
                <w:rPr>
                  <w:rFonts w:hint="eastAsia" w:asciiTheme="minorEastAsia" w:hAnsiTheme="minorEastAsia" w:eastAsiaTheme="minorEastAsia" w:cstheme="minorEastAsia"/>
                  <w:b w:val="0"/>
                  <w:bCs w:val="0"/>
                  <w:sz w:val="28"/>
                  <w:szCs w:val="28"/>
                </w:rPr>
                <w:tab/>
              </w:r>
              <w:bookmarkStart w:id="16" w:name="_Toc16050_WPSOffice_Level2Page"/>
              <w:r>
                <w:rPr>
                  <w:rFonts w:hint="eastAsia" w:asciiTheme="minorEastAsia" w:hAnsiTheme="minorEastAsia" w:eastAsiaTheme="minorEastAsia" w:cstheme="minorEastAsia"/>
                  <w:b w:val="0"/>
                  <w:bCs w:val="0"/>
                  <w:sz w:val="28"/>
                  <w:szCs w:val="28"/>
                </w:rPr>
                <w:t>8</w:t>
              </w:r>
              <w:bookmarkEnd w:id="16"/>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_Toc7114_WPSOffice_Level2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a09da031-4808-4797-9660-b265583b8641}"/>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（十二）国有资产占有情况说明</w:t>
                  </w:r>
                </w:sdtContent>
              </w:sdt>
              <w:r>
                <w:rPr>
                  <w:rFonts w:hint="eastAsia" w:asciiTheme="minorEastAsia" w:hAnsiTheme="minorEastAsia" w:eastAsiaTheme="minorEastAsia" w:cstheme="minorEastAsia"/>
                  <w:b w:val="0"/>
                  <w:bCs w:val="0"/>
                  <w:sz w:val="28"/>
                  <w:szCs w:val="28"/>
                </w:rPr>
                <w:tab/>
              </w:r>
              <w:bookmarkStart w:id="17" w:name="_Toc7114_WPSOffice_Level2Page"/>
              <w:r>
                <w:rPr>
                  <w:rFonts w:hint="eastAsia" w:asciiTheme="minorEastAsia" w:hAnsiTheme="minorEastAsia" w:eastAsiaTheme="minorEastAsia" w:cstheme="minorEastAsia"/>
                  <w:b w:val="0"/>
                  <w:bCs w:val="0"/>
                  <w:sz w:val="28"/>
                  <w:szCs w:val="28"/>
                </w:rPr>
                <w:t>9</w:t>
              </w:r>
              <w:bookmarkEnd w:id="17"/>
              <w:r>
                <w:rPr>
                  <w:rFonts w:hint="eastAsia" w:asciiTheme="minorEastAsia" w:hAnsiTheme="minorEastAsia" w:eastAsiaTheme="minorEastAsia" w:cstheme="minorEastAsia"/>
                  <w:b w:val="0"/>
                  <w:bCs w:val="0"/>
                  <w:sz w:val="28"/>
                  <w:szCs w:val="28"/>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_Toc6645_WPSOffice_Level2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9a5abbba-387a-4f32-91d1-10f8d3380093}"/>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（十三）预算绩效情况说明</w:t>
                  </w:r>
                </w:sdtContent>
              </w:sdt>
              <w:r>
                <w:rPr>
                  <w:rFonts w:hint="eastAsia" w:asciiTheme="minorEastAsia" w:hAnsiTheme="minorEastAsia" w:eastAsiaTheme="minorEastAsia" w:cstheme="minorEastAsia"/>
                  <w:b w:val="0"/>
                  <w:bCs w:val="0"/>
                  <w:sz w:val="28"/>
                  <w:szCs w:val="28"/>
                </w:rPr>
                <w:tab/>
              </w:r>
              <w:bookmarkStart w:id="18" w:name="_Toc6645_WPSOffice_Level2Page"/>
              <w:r>
                <w:rPr>
                  <w:rFonts w:hint="eastAsia" w:asciiTheme="minorEastAsia" w:hAnsiTheme="minorEastAsia" w:eastAsiaTheme="minorEastAsia" w:cstheme="minorEastAsia"/>
                  <w:b w:val="0"/>
                  <w:bCs w:val="0"/>
                  <w:sz w:val="28"/>
                  <w:szCs w:val="28"/>
                </w:rPr>
                <w:t>9</w:t>
              </w:r>
              <w:bookmarkEnd w:id="18"/>
              <w:r>
                <w:rPr>
                  <w:rFonts w:hint="eastAsia" w:asciiTheme="minorEastAsia" w:hAnsiTheme="minorEastAsia" w:eastAsiaTheme="minorEastAsia" w:cstheme="minorEastAsia"/>
                  <w:b w:val="0"/>
                  <w:bCs w:val="0"/>
                  <w:sz w:val="28"/>
                  <w:szCs w:val="28"/>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_Toc14097_WPSOffice_Level1 </w:instrText>
              </w:r>
              <w:r>
                <w:rPr>
                  <w:rFonts w:hint="eastAsia" w:asciiTheme="minorEastAsia" w:hAnsiTheme="minorEastAsia" w:eastAsiaTheme="minorEastAsia" w:cstheme="minorEastAsia"/>
                  <w:b w:val="0"/>
                  <w:bCs w:val="0"/>
                  <w:sz w:val="28"/>
                  <w:szCs w:val="28"/>
                </w:rPr>
                <w:fldChar w:fldCharType="separate"/>
              </w:r>
              <w:sdt>
                <w:sdtPr>
                  <w:rPr>
                    <w:rFonts w:hint="eastAsia" w:asciiTheme="minorEastAsia" w:hAnsiTheme="minorEastAsia" w:eastAsiaTheme="minorEastAsia" w:cstheme="minorEastAsia"/>
                    <w:b w:val="0"/>
                    <w:bCs w:val="0"/>
                    <w:sz w:val="28"/>
                    <w:szCs w:val="28"/>
                    <w:lang w:val="en-US" w:eastAsia="zh-CN" w:bidi="ar-SA"/>
                  </w:rPr>
                  <w:id w:val="147473571"/>
                  <w:placeholder>
                    <w:docPart w:val="{42c5732e-20e8-44b0-8589-03be674f1b26}"/>
                  </w:placeholder>
                </w:sdtPr>
                <w:sdtEndPr>
                  <w:rPr>
                    <w:rFonts w:hint="eastAsia" w:asciiTheme="minorEastAsia" w:hAnsiTheme="minorEastAsia" w:eastAsiaTheme="minorEastAsia" w:cstheme="minorEastAsia"/>
                    <w:b w:val="0"/>
                    <w:bCs w:val="0"/>
                    <w:sz w:val="28"/>
                    <w:szCs w:val="28"/>
                    <w:lang w:val="en-US" w:eastAsia="zh-CN" w:bidi="ar-SA"/>
                  </w:rPr>
                </w:sdtEndPr>
                <w:sdtContent>
                  <w:r>
                    <w:rPr>
                      <w:rFonts w:hint="eastAsia" w:asciiTheme="minorEastAsia" w:hAnsiTheme="minorEastAsia" w:eastAsiaTheme="minorEastAsia" w:cstheme="minorEastAsia"/>
                      <w:b w:val="0"/>
                      <w:bCs w:val="0"/>
                      <w:sz w:val="28"/>
                      <w:szCs w:val="28"/>
                    </w:rPr>
                    <w:t>四、名词解释</w:t>
                  </w:r>
                </w:sdtContent>
              </w:sdt>
              <w:r>
                <w:rPr>
                  <w:rFonts w:hint="eastAsia" w:asciiTheme="minorEastAsia" w:hAnsiTheme="minorEastAsia" w:eastAsiaTheme="minorEastAsia" w:cstheme="minorEastAsia"/>
                  <w:b w:val="0"/>
                  <w:bCs w:val="0"/>
                  <w:sz w:val="28"/>
                  <w:szCs w:val="28"/>
                </w:rPr>
                <w:tab/>
              </w:r>
              <w:bookmarkStart w:id="19" w:name="_Toc14097_WPSOffice_Level1Page"/>
              <w:r>
                <w:rPr>
                  <w:rFonts w:hint="eastAsia" w:asciiTheme="minorEastAsia" w:hAnsiTheme="minorEastAsia" w:eastAsiaTheme="minorEastAsia" w:cstheme="minorEastAsia"/>
                  <w:b w:val="0"/>
                  <w:bCs w:val="0"/>
                  <w:sz w:val="28"/>
                  <w:szCs w:val="28"/>
                </w:rPr>
                <w:t>14</w:t>
              </w:r>
              <w:bookmarkEnd w:id="19"/>
              <w:r>
                <w:rPr>
                  <w:rFonts w:hint="eastAsia" w:asciiTheme="minorEastAsia" w:hAnsiTheme="minorEastAsia" w:eastAsiaTheme="minorEastAsia" w:cstheme="minorEastAsia"/>
                  <w:b w:val="0"/>
                  <w:bCs w:val="0"/>
                  <w:sz w:val="28"/>
                  <w:szCs w:val="28"/>
                </w:rPr>
                <w:fldChar w:fldCharType="end"/>
              </w:r>
              <w:bookmarkEnd w:id="0"/>
            </w:p>
          </w:sdtContent>
        </w:sdt>
        <w:p>
          <w:pPr>
            <w:keepNext w:val="0"/>
            <w:keepLines w:val="0"/>
            <w:pageBreakBefore w:val="0"/>
            <w:kinsoku/>
            <w:wordWrap/>
            <w:overflowPunct/>
            <w:topLinePunct w:val="0"/>
            <w:bidi w:val="0"/>
            <w:adjustRightInd/>
            <w:snapToGrid/>
            <w:spacing w:line="560" w:lineRule="exact"/>
            <w:ind w:leftChars="0"/>
            <w:jc w:val="both"/>
            <w:textAlignment w:val="auto"/>
            <w:rPr>
              <w:rFonts w:hint="eastAsia" w:asciiTheme="minorEastAsia" w:hAnsiTheme="minorEastAsia" w:eastAsiaTheme="minorEastAsia" w:cstheme="minorEastAsia"/>
              <w:b w:val="0"/>
              <w:bCs w:val="0"/>
              <w:sz w:val="22"/>
              <w:szCs w:val="22"/>
            </w:rPr>
            <w:sectPr>
              <w:footerReference r:id="rId3" w:type="default"/>
              <w:pgSz w:w="12240" w:h="15840"/>
              <w:pgMar w:top="1440" w:right="1800" w:bottom="1440" w:left="1800" w:header="0" w:footer="642" w:gutter="0"/>
              <w:cols w:space="425" w:num="1"/>
            </w:sectPr>
          </w:pPr>
        </w:p>
      </w:sdtContent>
    </w:sdt>
    <w:p>
      <w:pPr>
        <w:jc w:val="center"/>
        <w:rPr>
          <w:rFonts w:hint="eastAsia" w:ascii="方正小标宋简体" w:hAnsi="方正小标宋简体" w:eastAsia="方正小标宋简体" w:cs="方正小标宋简体"/>
          <w:sz w:val="44"/>
          <w:szCs w:val="44"/>
        </w:rPr>
      </w:pPr>
    </w:p>
    <w:p>
      <w:pPr>
        <w:pStyle w:val="2"/>
        <w:bidi w:val="0"/>
        <w:rPr>
          <w:rFonts w:hint="eastAsia"/>
        </w:rPr>
      </w:pPr>
      <w:bookmarkStart w:id="20" w:name="_bookmark0"/>
      <w:bookmarkEnd w:id="20"/>
      <w:bookmarkStart w:id="21" w:name="_Toc13612_WPSOffice_Level1"/>
      <w:r>
        <w:rPr>
          <w:rFonts w:hint="eastAsia"/>
        </w:rPr>
        <w:t>一、概况</w:t>
      </w:r>
      <w:bookmarkEnd w:id="21"/>
    </w:p>
    <w:p>
      <w:pPr>
        <w:pStyle w:val="3"/>
        <w:bidi w:val="0"/>
        <w:rPr>
          <w:rFonts w:hint="eastAsia"/>
        </w:rPr>
      </w:pPr>
      <w:bookmarkStart w:id="22" w:name="_bookmark1"/>
      <w:bookmarkEnd w:id="22"/>
      <w:bookmarkStart w:id="23" w:name="_Toc23293_WPSOffice_Level2"/>
      <w:r>
        <w:rPr>
          <w:rFonts w:hint="eastAsia"/>
        </w:rPr>
        <w:t>（一）单位职责</w:t>
      </w:r>
      <w:bookmarkEnd w:id="23"/>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1、承担市区范围内自然资源的征收、征用的辅助工作。开展山、水、林、田、湖、草自然资源征收征用的补偿安置、政策研究、实施评价等工作。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2、承担市区范围内国家、省、市、区重大建设项目的土地征收征用补偿、林业使用补偿、涉矿补偿等工作。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3、承担市区范围内土地征收组件报批等工作。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4、参与市区范围内被征地农民基本生活保障工作。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5、完成金华市自然资源和规划局交办的其他任务。</w:t>
      </w:r>
    </w:p>
    <w:p>
      <w:pPr>
        <w:pStyle w:val="3"/>
        <w:bidi w:val="0"/>
        <w:rPr>
          <w:rFonts w:hint="eastAsia"/>
        </w:rPr>
      </w:pPr>
      <w:bookmarkStart w:id="24" w:name="_bookmark2"/>
      <w:bookmarkEnd w:id="24"/>
      <w:bookmarkStart w:id="25" w:name="_Toc10464_WPSOffice_Level2"/>
      <w:r>
        <w:rPr>
          <w:rFonts w:hint="eastAsia"/>
        </w:rPr>
        <w:t>（二）机构设置</w:t>
      </w:r>
      <w:bookmarkEnd w:id="25"/>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从预算单位构成看,本单位内设：综合科、业务一科（设婺城分局）、业务二科（设金东分局）</w:t>
      </w:r>
      <w:r>
        <w:rPr>
          <w:rFonts w:hint="eastAsia" w:ascii="仿宋_GB2312" w:hAnsi="仿宋_GB2312" w:eastAsia="仿宋_GB2312" w:cs="仿宋_GB2312"/>
          <w:sz w:val="32"/>
          <w:szCs w:val="32"/>
          <w:lang w:eastAsia="zh-CN"/>
        </w:rPr>
        <w:t>。</w:t>
      </w:r>
    </w:p>
    <w:p>
      <w:pPr>
        <w:pStyle w:val="2"/>
        <w:bidi w:val="0"/>
        <w:rPr>
          <w:rFonts w:hint="eastAsia"/>
        </w:rPr>
      </w:pPr>
      <w:bookmarkStart w:id="26" w:name="_bookmark3"/>
      <w:bookmarkEnd w:id="26"/>
      <w:bookmarkStart w:id="27" w:name="_Toc23293_WPSOffice_Level1"/>
      <w:r>
        <w:rPr>
          <w:rFonts w:hint="eastAsia"/>
        </w:rPr>
        <w:t>二、2021年度单位决算公开表</w:t>
      </w:r>
      <w:bookmarkEnd w:id="27"/>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pStyle w:val="2"/>
        <w:bidi w:val="0"/>
        <w:rPr>
          <w:rFonts w:hint="eastAsia"/>
        </w:rPr>
      </w:pPr>
      <w:bookmarkStart w:id="28" w:name="_bookmark4"/>
      <w:bookmarkEnd w:id="28"/>
      <w:bookmarkStart w:id="29" w:name="_Toc10464_WPSOffice_Level1"/>
      <w:r>
        <w:rPr>
          <w:rFonts w:hint="eastAsia"/>
        </w:rPr>
        <w:t>三、2021年度单位决算情况说明</w:t>
      </w:r>
      <w:bookmarkEnd w:id="29"/>
    </w:p>
    <w:p>
      <w:pPr>
        <w:pStyle w:val="3"/>
        <w:bidi w:val="0"/>
        <w:rPr>
          <w:rFonts w:hint="eastAsia"/>
        </w:rPr>
      </w:pPr>
      <w:bookmarkStart w:id="30" w:name="_bookmark5"/>
      <w:bookmarkEnd w:id="30"/>
      <w:bookmarkStart w:id="31" w:name="_Toc14097_WPSOffice_Level2"/>
      <w:r>
        <w:rPr>
          <w:rFonts w:hint="eastAsia"/>
        </w:rPr>
        <w:t>（一）收入支出决算总体情况说明</w:t>
      </w:r>
      <w:bookmarkEnd w:id="31"/>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2021年度收入总计365.47万元，支出总计365.47万元,与2020年度相比，各增加50.01万元，增长15.85%。主要原因是人员增加，相应经费增加。</w:t>
      </w:r>
    </w:p>
    <w:p>
      <w:pPr>
        <w:pStyle w:val="3"/>
        <w:bidi w:val="0"/>
        <w:rPr>
          <w:rFonts w:hint="eastAsia"/>
        </w:rPr>
      </w:pPr>
      <w:bookmarkStart w:id="32" w:name="_bookmark6"/>
      <w:bookmarkEnd w:id="32"/>
      <w:bookmarkStart w:id="33" w:name="_Toc20060_WPSOffice_Level2"/>
      <w:r>
        <w:rPr>
          <w:rFonts w:hint="eastAsia"/>
        </w:rPr>
        <w:t>（二）收入决算情况说明</w:t>
      </w:r>
      <w:bookmarkEnd w:id="33"/>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365.47万元；包括财政拨款收入348.2万元（其中，一般公共预算337.88万元，政府性基金预算10.32万元,国有资本经营预算0万元），占收入合计95.27%；上级补助收入0万元，占收入合计0%；事业收入0万元，占收入合计0%；经营收入0万元，占收入合计0%；附属单位上缴收入0万元，占收入合计0%；其他收入17.27万元，占收入合计4.73%。</w:t>
      </w:r>
    </w:p>
    <w:p>
      <w:pPr>
        <w:pStyle w:val="3"/>
        <w:bidi w:val="0"/>
        <w:rPr>
          <w:rFonts w:hint="eastAsia"/>
        </w:rPr>
      </w:pPr>
      <w:bookmarkStart w:id="34" w:name="_bookmark7"/>
      <w:bookmarkEnd w:id="34"/>
      <w:bookmarkStart w:id="35" w:name="_Toc1683_WPSOffice_Level2"/>
      <w:r>
        <w:rPr>
          <w:rFonts w:hint="eastAsia"/>
        </w:rPr>
        <w:t>（三）支出决算情况说明</w:t>
      </w:r>
      <w:bookmarkEnd w:id="35"/>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本年支出合计365.47万元，其中基本支出355.15万元，占97.18%；项目支出10.32万元，占2.82%；上缴上级支出0万元，占0%；经营支出0万元，占0%；对附属单位补助支出0万元，占0%。</w:t>
      </w:r>
    </w:p>
    <w:p>
      <w:pPr>
        <w:pStyle w:val="3"/>
        <w:bidi w:val="0"/>
        <w:rPr>
          <w:rFonts w:hint="eastAsia"/>
        </w:rPr>
      </w:pPr>
      <w:bookmarkStart w:id="36" w:name="_bookmark8"/>
      <w:bookmarkEnd w:id="36"/>
      <w:bookmarkStart w:id="37" w:name="_Toc22678_WPSOffice_Level2"/>
      <w:r>
        <w:rPr>
          <w:rFonts w:hint="eastAsia"/>
        </w:rPr>
        <w:t>（四）财政拨款收入支出决算总体情况说明</w:t>
      </w:r>
      <w:bookmarkEnd w:id="37"/>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2021年度财政拨款收入总计348.2万元，支出总计348.2万元，与2020年相比，各增加44.01万元，增长14.47%。主要原因是人员增加，相应经费增加。财政拨款支出年初预算数</w:t>
      </w:r>
      <w:r>
        <w:rPr>
          <w:rFonts w:hint="eastAsia" w:ascii="仿宋_GB2312" w:hAnsi="仿宋_GB2312" w:eastAsia="仿宋_GB2312" w:cs="仿宋_GB2312"/>
          <w:sz w:val="32"/>
          <w:szCs w:val="32"/>
          <w:lang w:val="en-US" w:eastAsia="zh-CN"/>
        </w:rPr>
        <w:t>338.01</w:t>
      </w:r>
      <w:r>
        <w:rPr>
          <w:rFonts w:hint="eastAsia" w:ascii="仿宋_GB2312" w:hAnsi="仿宋_GB2312" w:eastAsia="仿宋_GB2312" w:cs="仿宋_GB2312"/>
          <w:sz w:val="32"/>
          <w:szCs w:val="32"/>
        </w:rPr>
        <w:t>万元，完成年初预算的103%，主要原因是追加人员经费。</w:t>
      </w:r>
    </w:p>
    <w:p>
      <w:pPr>
        <w:pStyle w:val="3"/>
        <w:bidi w:val="0"/>
        <w:rPr>
          <w:rFonts w:hint="eastAsia"/>
        </w:rPr>
      </w:pPr>
      <w:bookmarkStart w:id="38" w:name="_bookmark9"/>
      <w:bookmarkEnd w:id="38"/>
      <w:bookmarkStart w:id="39" w:name="_Toc21449_WPSOffice_Level2"/>
      <w:r>
        <w:rPr>
          <w:rFonts w:hint="eastAsia"/>
        </w:rPr>
        <w:t>（五）一般公共预算财政拨款支出决算情况说明</w:t>
      </w:r>
      <w:bookmarkEnd w:id="39"/>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一般公共预算财政拨款支出决算总体情况。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2021年度一般公共预算财政拨款支出337.88万元，占本年支出合计的92.45%。与2020年相比，一般公共预算财政拨款支出增加47.06万元，增长16.18%。主要原因是人员增加，相应经费增加。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一般公共预算财政拨款支出决算结构情况。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337.88万元，主要用于以下方面：一般公共服务（类）支出0万元，占0%；国防（类）支出0万元,占0%；公共安全（类）支出0万元,占0%；教育（类）支出0.27万元,占0.08%；科学技术（类）支出0万元,占0%；文化旅游体育与传媒（类）支出0万元,占0%；社会保障和就业（类）支出28.67万元,占8.49%；卫生健康（类）支出12.71万元,占3.76%；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267.42万元,占79.15%；住房保障（类）支出28.82万元,占8.53%；粮油物资储备（类）支出0万元,占0%；灾害防治及应急管理（类）支出0万元,占0%；其他（类）支出0万元,占0%；债务还本（类）支出0万元,占0%；债务付息（类）支出0万元,占0%。</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一般公共预算财政拨款支出决算具体情况。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2021年度一般公共预算财政拨款支出年初预算为327.51万元，支出决算为337.88万元,完成年初预算的103.17%，决算数大于预算数的主要原因是人员增加，相应经费增加。其中：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教育支出（类）进修及培训（款）培训支出（项）。年初预算为2.94万元，支出决算为0.27万元，完成年初预算的9.18%，决算数小于预算数的主要原因为压缩培训支出。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类）行政事业单位养老支出（款）机关事业单位基本养老保险缴费支出（项）。年初预算为17.73万元，支出决算为19.12万元,完成年初预算的107.84%，决算数大于预算数的主要原因是追加人员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社会保险和就业支出（类）行政事业单位养老支出（款）机关事业单位职业年金缴费支出（项）。年初预算为8.86万元，支出决算为9.55万元，完成年初预算的107.79%，决算数大于预算数的主要原因是追加人员经费。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卫生健康支出（类）行政事业单位医疗（款）事业单位医疗（项）。年初预算为10.71万元，支出决算为12.71万元，完成年初预算的118.67%，决算数大于预算数的主要原因是追加人员经费。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自然资源海洋气象等支出（类）自然资源事务（款）事业运行（项）。年初预算为258.53万元，支出决算为267.42万元，完成年初预算103.44%，决算数大于预算数的主要原因是追加人员经费。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住房保障支出（类）住房改革支出（款）住房公积金（项）。年初预算为28.74万元，支出决算为28.82万元，完成年初预算的100.27%，决算数大于预算数的主要原因是追加人员经费。</w:t>
      </w:r>
    </w:p>
    <w:p>
      <w:pPr>
        <w:pStyle w:val="3"/>
        <w:bidi w:val="0"/>
        <w:rPr>
          <w:rFonts w:hint="eastAsia"/>
        </w:rPr>
      </w:pPr>
      <w:bookmarkStart w:id="40" w:name="_bookmark10"/>
      <w:bookmarkEnd w:id="40"/>
      <w:bookmarkStart w:id="41" w:name="_Toc10986_WPSOffice_Level2"/>
      <w:r>
        <w:rPr>
          <w:rFonts w:hint="eastAsia"/>
        </w:rPr>
        <w:t>（六）一般公共预算财政拨款基本支出决算情况说明</w:t>
      </w:r>
      <w:bookmarkEnd w:id="41"/>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2021年度一般公共预算财政拨款基本支出337.88万元，其中：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301.08万元，主要包括：基本工资、津贴补贴、奖金、绩效工资、机关事业单位基本养老保险缴费、职业年金缴费、职工基本医疗保险缴费、公务员医疗补助缴费、其他社会保障缴费、住房公积金、其他工资福利支出、对其他个人和家庭的补助。</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公用经费36.8万元，主要包括：办公费、邮电费、差旅费、培训费、公务接待费、劳务费、工会经费、福利费、公务用车运行维护费、其他商品和服务支出、办公设备购置。</w:t>
      </w:r>
    </w:p>
    <w:p>
      <w:pPr>
        <w:pStyle w:val="3"/>
        <w:bidi w:val="0"/>
        <w:rPr>
          <w:rFonts w:hint="eastAsia"/>
        </w:rPr>
      </w:pPr>
      <w:bookmarkStart w:id="42" w:name="_bookmark11"/>
      <w:bookmarkEnd w:id="42"/>
      <w:bookmarkStart w:id="43" w:name="_Toc13830_WPSOffice_Level2"/>
      <w:r>
        <w:rPr>
          <w:rFonts w:hint="eastAsia"/>
        </w:rPr>
        <w:t>（七）政府性基金预算财政拨款支出决算总体情况说明</w:t>
      </w:r>
      <w:bookmarkEnd w:id="43"/>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政府性基金预算财政拨款支出决算总体情况。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2021年度政府性基金预算财政拨款支出10.32万元，占本年支出合计的2.82%。与2020年相比，政府性基金预算财政拨款支出减少3.05万元，下降22.81%。主要原因是机构改革。</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政府性基金预算财政拨款支出决算结构情况。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10.32万元，主要用于以下方面：科学技术（类）支出0万元,占0%；文化旅游体育与传媒（类）支出0万元,占0%；社会保障和就业（类）支出0万元,占0%；节能环保（类）支出0万元,占0%；城乡社区（类）支出10.32万元,占100%；农林水（类）支出0万元,占0%；交通运输（类）支出0万元,占0%；资源勘探信息等（类）支出0万元,占0%；金融（类）支出0万元,占0%；其他（类）支出0万元,占0%；债务付息（类）支出0万元,占0%；抗疫特别国债安排（类）支出0万元,占0%。</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政府性基金预算财政拨款支出决算具体情况。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2021年度政府性基金预算财政拨款支出年初预算为10.5万元，支出决算为10.32万元,完成年初预算的98.29%，主要原因是厉行节约。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其中：城乡社区支出（类）国有土地使用权出让收入（款）土地出让业务支出（项）。年初预算为10.5万元，支出决算为10.32万元，完成年初预算的98.29%，决算数小于预算数的主要原因是厉行节约。</w:t>
      </w:r>
    </w:p>
    <w:p>
      <w:pPr>
        <w:pStyle w:val="3"/>
        <w:bidi w:val="0"/>
        <w:rPr>
          <w:rFonts w:hint="eastAsia"/>
        </w:rPr>
      </w:pPr>
      <w:bookmarkStart w:id="44" w:name="_bookmark12"/>
      <w:bookmarkEnd w:id="44"/>
      <w:bookmarkStart w:id="45" w:name="_Toc25382_WPSOffice_Level2"/>
      <w:r>
        <w:rPr>
          <w:rFonts w:hint="eastAsia"/>
        </w:rPr>
        <w:t>（八）国有资本经营预算财政拨款支出决算总体情况说明</w:t>
      </w:r>
      <w:bookmarkEnd w:id="45"/>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本单位2021年度无国有资本经营预算财政拨款收支安排，故无相关数据。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宋体" w:hAnsi="宋体" w:eastAsia="楷体_GB2312" w:cs="宋体"/>
          <w:b/>
          <w:sz w:val="32"/>
          <w:szCs w:val="22"/>
        </w:rPr>
      </w:pPr>
      <w:bookmarkStart w:id="46" w:name="_bookmark13"/>
      <w:bookmarkEnd w:id="46"/>
      <w:bookmarkStart w:id="47" w:name="_Toc12447_WPSOffice_Level2"/>
      <w:r>
        <w:rPr>
          <w:rFonts w:hint="eastAsia" w:ascii="宋体" w:hAnsi="宋体" w:eastAsia="楷体_GB2312" w:cs="宋体"/>
          <w:b/>
          <w:sz w:val="32"/>
          <w:szCs w:val="22"/>
        </w:rPr>
        <w:t>（九）一般公共预算财政拨款“三公”经费支出决算情况说明</w:t>
      </w:r>
      <w:bookmarkEnd w:id="47"/>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“三公”经费一般公共预算财政拨款支出决算总体情况说明。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2021年度“三公”经费一般公共预算财政拨款支出预算为3.3万元，支出决算为1.96万元，完成预算的59.39%，2021年度“三公”经费支出决算数小于预算数的主要原因是厉行节约。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“三公”经费一般公共预算财政拨款支出决算具体情况说明。</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2021年度“三公”经费一般公共预算财政拨款支出决算中，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因公出国（境）费用支出决算为0万元，占0%，与2020年度相比，</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主要原因是当年未安排人员出国（境）；公务用车购置及运行维护费支出决算为1.58万元，占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%，与2020年度相比，增加0.37万元，增长30.</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rPr>
        <w:t>%，主要原因是因机构改革，</w:t>
      </w:r>
      <w:r>
        <w:rPr>
          <w:rFonts w:hint="eastAsia" w:ascii="仿宋_GB2312" w:hAnsi="仿宋_GB2312" w:eastAsia="仿宋_GB2312" w:cs="仿宋_GB2312"/>
          <w:sz w:val="32"/>
          <w:szCs w:val="32"/>
          <w:lang w:eastAsia="zh-CN"/>
        </w:rPr>
        <w:t>公务外出增加；</w:t>
      </w:r>
      <w:r>
        <w:rPr>
          <w:rFonts w:hint="eastAsia" w:ascii="仿宋_GB2312" w:hAnsi="仿宋_GB2312" w:eastAsia="仿宋_GB2312" w:cs="仿宋_GB2312"/>
          <w:sz w:val="32"/>
          <w:szCs w:val="32"/>
        </w:rPr>
        <w:t>公务接待费支出决算为0.38万元，占19.39%，与2020年度相比，增加0.25万元，增长202%，主要原因是业务量增加。具体情况如下：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预算数为0万元，支出决算为0万元。完成预算的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用于机关及下属预算单位人员的因公等公务出国（境）的住宿费、国际旅费、培训费、公杂费等支出。决算数等于预算数的主要原因是当年未安排公务出国（境）人员。全年使用一般公共预算财政拨款支出涉及因公出国(境)团组0个；累计0人次。开支内容包括：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公务用车购置及运行维护费</w:t>
      </w:r>
      <w:r>
        <w:rPr>
          <w:rFonts w:hint="eastAsia" w:ascii="仿宋_GB2312" w:hAnsi="仿宋_GB2312" w:eastAsia="仿宋_GB2312" w:cs="仿宋_GB2312"/>
          <w:sz w:val="32"/>
          <w:szCs w:val="32"/>
        </w:rPr>
        <w:t>预算数为2.8万元，支出决算为1.58万元，完成预算的56.43%。决算数小于预算数的主要原因是厉行节约</w:t>
      </w:r>
      <w:r>
        <w:rPr>
          <w:rFonts w:hint="eastAsia" w:ascii="仿宋_GB2312" w:hAnsi="仿宋_GB2312" w:eastAsia="仿宋_GB2312" w:cs="仿宋_GB2312"/>
          <w:sz w:val="32"/>
          <w:szCs w:val="32"/>
          <w:lang w:eastAsia="zh-CN"/>
        </w:rPr>
        <w:t>压缩支出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w:t>
      </w:r>
      <w:r>
        <w:rPr>
          <w:rFonts w:hint="eastAsia" w:ascii="仿宋_GB2312" w:hAnsi="仿宋_GB2312" w:eastAsia="仿宋_GB2312" w:cs="仿宋_GB2312"/>
          <w:sz w:val="32"/>
          <w:szCs w:val="32"/>
        </w:rPr>
        <w:t>预算数为0万元，支出决算为0万元（含购置税等附加费用），决算数等于预算数的主要原因是当年未安排公务用车购置。主要用于经批准购置的0辆公务用车；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公务用车运行维护费</w:t>
      </w:r>
      <w:r>
        <w:rPr>
          <w:rFonts w:hint="eastAsia" w:ascii="仿宋_GB2312" w:hAnsi="仿宋_GB2312" w:eastAsia="仿宋_GB2312" w:cs="仿宋_GB2312"/>
          <w:sz w:val="32"/>
          <w:szCs w:val="32"/>
        </w:rPr>
        <w:t>预算数为2.8万元，支出1.58万元，完成预算的56.43%。决算数小于预算数的主要原因是严格控制厉行节约</w:t>
      </w:r>
      <w:r>
        <w:rPr>
          <w:rFonts w:hint="eastAsia" w:ascii="仿宋_GB2312" w:hAnsi="仿宋_GB2312" w:eastAsia="仿宋_GB2312" w:cs="仿宋_GB2312"/>
          <w:sz w:val="32"/>
          <w:szCs w:val="32"/>
          <w:lang w:eastAsia="zh-CN"/>
        </w:rPr>
        <w:t>压缩支出</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公务</w:t>
      </w:r>
      <w:r>
        <w:rPr>
          <w:rFonts w:hint="eastAsia" w:ascii="仿宋_GB2312" w:hAnsi="仿宋_GB2312" w:eastAsia="仿宋_GB2312" w:cs="仿宋_GB2312"/>
          <w:sz w:val="32"/>
          <w:szCs w:val="32"/>
          <w:lang w:eastAsia="zh-CN"/>
        </w:rPr>
        <w:t>用车出行</w:t>
      </w:r>
      <w:r>
        <w:rPr>
          <w:rFonts w:hint="eastAsia" w:ascii="仿宋_GB2312" w:hAnsi="仿宋_GB2312" w:eastAsia="仿宋_GB2312" w:cs="仿宋_GB2312"/>
          <w:sz w:val="32"/>
          <w:szCs w:val="32"/>
        </w:rPr>
        <w:t>所需的公务用车燃料费、维修费、过路过桥费、保险费、安全奖励费用等支出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本单位开支一般公共预算财政拨款的公务用车保有量为1辆。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公务接待费</w:t>
      </w:r>
      <w:r>
        <w:rPr>
          <w:rFonts w:hint="eastAsia" w:ascii="仿宋_GB2312" w:hAnsi="仿宋_GB2312" w:eastAsia="仿宋_GB2312" w:cs="仿宋_GB2312"/>
          <w:sz w:val="32"/>
          <w:szCs w:val="32"/>
        </w:rPr>
        <w:t>预算数为0.5万元，支出决算为0.38万元，完成预算的76%。</w:t>
      </w:r>
      <w:r>
        <w:rPr>
          <w:rFonts w:hint="eastAsia" w:ascii="仿宋_GB2312" w:hAnsi="仿宋_GB2312" w:eastAsia="仿宋_GB2312" w:cs="仿宋_GB2312"/>
          <w:sz w:val="32"/>
          <w:szCs w:val="32"/>
          <w:lang w:eastAsia="zh-CN"/>
        </w:rPr>
        <w:t>国内公务接待</w:t>
      </w:r>
      <w:r>
        <w:rPr>
          <w:rFonts w:hint="eastAsia" w:ascii="仿宋_GB2312" w:hAnsi="仿宋_GB2312" w:eastAsia="仿宋_GB2312" w:cs="仿宋_GB2312"/>
          <w:sz w:val="32"/>
          <w:szCs w:val="32"/>
          <w:lang w:val="en-US" w:eastAsia="zh-CN"/>
        </w:rPr>
        <w:t>4批次，累计46人次。</w:t>
      </w:r>
      <w:r>
        <w:rPr>
          <w:rFonts w:hint="eastAsia" w:ascii="仿宋_GB2312" w:hAnsi="仿宋_GB2312" w:eastAsia="仿宋_GB2312" w:cs="仿宋_GB2312"/>
          <w:sz w:val="32"/>
          <w:szCs w:val="32"/>
        </w:rPr>
        <w:t>主要用于接待</w:t>
      </w:r>
      <w:r>
        <w:rPr>
          <w:rFonts w:hint="eastAsia" w:ascii="仿宋_GB2312" w:hAnsi="仿宋_GB2312" w:eastAsia="仿宋_GB2312" w:cs="仿宋_GB2312"/>
          <w:sz w:val="32"/>
          <w:szCs w:val="32"/>
          <w:lang w:eastAsia="zh-CN"/>
        </w:rPr>
        <w:t>省厅领导、县市兄弟单位业务交流</w:t>
      </w:r>
      <w:r>
        <w:rPr>
          <w:rFonts w:hint="eastAsia" w:ascii="仿宋_GB2312" w:hAnsi="仿宋_GB2312" w:eastAsia="仿宋_GB2312" w:cs="仿宋_GB2312"/>
          <w:sz w:val="32"/>
          <w:szCs w:val="32"/>
        </w:rPr>
        <w:t>等支出。决算数小于预算数的主要原因是厉行节约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w:t>
      </w:r>
      <w:r>
        <w:rPr>
          <w:rFonts w:hint="eastAsia" w:ascii="仿宋_GB2312" w:hAnsi="仿宋_GB2312" w:eastAsia="仿宋_GB2312" w:cs="仿宋_GB2312"/>
          <w:b/>
          <w:bCs/>
          <w:sz w:val="32"/>
          <w:szCs w:val="32"/>
          <w:lang w:eastAsia="zh-CN"/>
        </w:rPr>
        <w:t>事</w:t>
      </w:r>
      <w:r>
        <w:rPr>
          <w:rFonts w:hint="eastAsia" w:ascii="仿宋_GB2312" w:hAnsi="仿宋_GB2312" w:eastAsia="仿宋_GB2312" w:cs="仿宋_GB2312"/>
          <w:b/>
          <w:bCs/>
          <w:sz w:val="32"/>
          <w:szCs w:val="32"/>
        </w:rPr>
        <w:t>接待</w:t>
      </w:r>
      <w:r>
        <w:rPr>
          <w:rFonts w:hint="eastAsia" w:ascii="仿宋_GB2312" w:hAnsi="仿宋_GB2312" w:eastAsia="仿宋_GB2312" w:cs="仿宋_GB2312"/>
          <w:sz w:val="32"/>
          <w:szCs w:val="32"/>
        </w:rPr>
        <w:t>支出0万元，主要用于公务接待0团组，累计0人次。</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w:t>
      </w:r>
      <w:r>
        <w:rPr>
          <w:rFonts w:hint="eastAsia" w:ascii="仿宋_GB2312" w:hAnsi="仿宋_GB2312" w:eastAsia="仿宋_GB2312" w:cs="仿宋_GB2312"/>
          <w:sz w:val="32"/>
          <w:szCs w:val="32"/>
        </w:rPr>
        <w:t>支出0.38万元，主要用于</w:t>
      </w:r>
      <w:r>
        <w:rPr>
          <w:rFonts w:hint="eastAsia" w:ascii="仿宋_GB2312" w:hAnsi="仿宋_GB2312" w:eastAsia="仿宋_GB2312" w:cs="仿宋_GB2312"/>
          <w:sz w:val="32"/>
          <w:szCs w:val="32"/>
          <w:lang w:eastAsia="zh-CN"/>
        </w:rPr>
        <w:t>接待省厅领导</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eastAsia="zh-CN"/>
        </w:rPr>
        <w:t>兄弟单位业务交流</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批次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46人次。</w:t>
      </w:r>
    </w:p>
    <w:p>
      <w:pPr>
        <w:pStyle w:val="3"/>
        <w:bidi w:val="0"/>
        <w:rPr>
          <w:rFonts w:hint="eastAsia"/>
        </w:rPr>
      </w:pPr>
      <w:bookmarkStart w:id="48" w:name="_bookmark14"/>
      <w:bookmarkEnd w:id="48"/>
      <w:bookmarkStart w:id="49" w:name="_Toc18711_WPSOffice_Level2"/>
      <w:r>
        <w:rPr>
          <w:rFonts w:hint="eastAsia"/>
        </w:rPr>
        <w:t>（十）机关运行经费支出说明</w:t>
      </w:r>
      <w:bookmarkEnd w:id="49"/>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2021年度机关运行经费年初预算数为0万元，支出决算为0万元，决算数</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于预算数的主要原因</w:t>
      </w:r>
      <w:r>
        <w:rPr>
          <w:rFonts w:hint="eastAsia" w:ascii="仿宋_GB2312" w:hAnsi="仿宋_GB2312" w:eastAsia="仿宋_GB2312" w:cs="仿宋_GB2312"/>
          <w:sz w:val="32"/>
          <w:szCs w:val="32"/>
          <w:lang w:eastAsia="zh-CN"/>
        </w:rPr>
        <w:t>本单位是事业单位，故无相关内容；</w:t>
      </w:r>
      <w:r>
        <w:rPr>
          <w:rFonts w:hint="eastAsia" w:ascii="仿宋_GB2312" w:hAnsi="仿宋_GB2312" w:eastAsia="仿宋_GB2312" w:cs="仿宋_GB2312"/>
          <w:sz w:val="32"/>
          <w:szCs w:val="32"/>
        </w:rPr>
        <w:t>比2020年度减少0万元，下降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%，主要原因是本单位</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事业单位，故无相关内容。</w:t>
      </w:r>
    </w:p>
    <w:p>
      <w:pPr>
        <w:pStyle w:val="3"/>
        <w:bidi w:val="0"/>
        <w:rPr>
          <w:rFonts w:hint="eastAsia"/>
        </w:rPr>
      </w:pPr>
      <w:bookmarkStart w:id="50" w:name="_bookmark15"/>
      <w:bookmarkEnd w:id="50"/>
      <w:bookmarkStart w:id="51" w:name="_Toc16050_WPSOffice_Level2"/>
      <w:r>
        <w:rPr>
          <w:rFonts w:hint="eastAsia"/>
        </w:rPr>
        <w:t>（十一）政府采购支出说明</w:t>
      </w:r>
      <w:bookmarkEnd w:id="51"/>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政府采购支出总额4.25万元，其中：政府采购货物支出4.25万元、政府采购工程支出0万元、政府采购服务支出0万元。授予中小企业合同金额4.25万元，占政府采购支出总额的100%。其中，授予小微企业合同金额0万元，占授予中小企业合同金额的0%；货物采购授予中小企业合同金额占货物支出金额的100%，工程采购授予中小企业合同金额占工程支出金额的0%，服务采购授予中小企业合同金额占服务支出金额的0%。</w:t>
      </w:r>
    </w:p>
    <w:p>
      <w:pPr>
        <w:pStyle w:val="3"/>
        <w:bidi w:val="0"/>
        <w:rPr>
          <w:rFonts w:hint="eastAsia"/>
        </w:rPr>
      </w:pPr>
      <w:bookmarkStart w:id="52" w:name="_bookmark16"/>
      <w:bookmarkEnd w:id="52"/>
      <w:bookmarkStart w:id="53" w:name="_Toc7114_WPSOffice_Level2"/>
      <w:r>
        <w:rPr>
          <w:rFonts w:hint="eastAsia"/>
        </w:rPr>
        <w:t>（十二）国有资产占有情况说明</w:t>
      </w:r>
      <w:bookmarkEnd w:id="53"/>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金华市自然资源征收中心共有车辆1辆，其中，副部（省）级及以上领导用车0辆、主要领导干部用车0辆、机要通信用车0辆、应急保障用车0辆、执法执勤用车0辆、特种专业技术用车0辆、离退休干部用车0辆、其他用车1辆,其他用车主要是征地业务用车；单价50万元以上通用设备0台（套），单价100万元以上专用设备0台（套）。</w:t>
      </w:r>
    </w:p>
    <w:p>
      <w:pPr>
        <w:pStyle w:val="3"/>
        <w:bidi w:val="0"/>
        <w:rPr>
          <w:rFonts w:hint="eastAsia"/>
        </w:rPr>
      </w:pPr>
      <w:bookmarkStart w:id="54" w:name="_bookmark17"/>
      <w:bookmarkEnd w:id="54"/>
      <w:bookmarkStart w:id="55" w:name="_Toc6645_WPSOffice_Level2"/>
      <w:r>
        <w:rPr>
          <w:rFonts w:hint="eastAsia"/>
        </w:rPr>
        <w:t>（十三）预算绩效情况说明</w:t>
      </w:r>
      <w:bookmarkEnd w:id="55"/>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预算绩效管理工作开展情况。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金华市自然资源征收中心对2021年度一般公共预算项目支出全面开展绩效自评，其中，一级项目0个，二级项目0个，共涉及资金0万元，占一般公共预算项目支出总额的0%。组织对2021年度政府性基金预算项目支出全面开展绩效自评，其中，一级项目1个，二级项目1个，共涉及资金10.32万元，占政府性基金预算项目支出总额的100%。</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本年无国有资本经营预算项目。本年无部门评价。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本年无部门整体支出绩效评价。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本年无下属部门或单位整体支出绩效评价。</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单位决算中项目绩效自评结果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本单位2021年度只有一个预算项目。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金华市自然资源征收中心在2021年度单位决算中反映自然资源征收工作经费项目自评结果。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自然资源征收工作经费项目绩效自评综述：根据年初设定的绩效目标，项目自评得分97分，自评结论为“优”。项目全年预算数为10.5万元，执行数为10.32万元，完成预算的98.3%。</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完成情况：对照2021年市政府下达的征迁任务，做好保障服务，配合市局做好土地征收成片开发方案的编制工作，充分发挥职能优势对项目前期征迁、农转用征收报批工作做好指导，助推各类省市重点项目、多湖中央商务区块、双龙旅游区、高铁新城等重点区块建设。一是进一步完善推进改革创新，新征地程序严格落实。2021年度全市共完成土地征收24407.5亩，支付土地征收、青苗及地上附着物补偿14.05亿。二是按要求做好被征地农民参保工作，2021年度共落实被征地农民参保20965人。三是扎实做好农村回迁安置工作，截至2021年底已完成1.05万户的安置，完成率70.28%，其中3-5年、5-8年、8年以上三项安置任务共计124户，454人在全省率先实现“三清零”目标，取得积极成效。四是较好地推动了市区重点项目建设，提高征地补偿标准，提高了被征地农民的获得感、幸福感。发现的问题及原因：一是随着征地制度改革向纵深推进，我们面临着征地工作的崭新局面。目前征地中存在着体制机制跟不上征地法制化规范化要求的矛盾，政策法规不一致的矛盾，二是规范化业务服务能力水平和群众不断提高的业务要求之间的矛盾。下一步改进措施：一是立足实际，加强人员队伍建设，提高工作效能和为群众服务意识，二是强化系统观念、全面创新思维，保持“奔跑”姿态，高水平完成全年目标任务。</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金华市本级项目支出绩效自评表</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实施单位（盖章）：金华市自然资源征收中心</w:t>
      </w:r>
    </w:p>
    <w:tbl>
      <w:tblPr>
        <w:tblStyle w:val="11"/>
        <w:tblW w:w="86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77"/>
        <w:gridCol w:w="127"/>
        <w:gridCol w:w="89"/>
        <w:gridCol w:w="2"/>
        <w:gridCol w:w="690"/>
        <w:gridCol w:w="655"/>
        <w:gridCol w:w="709"/>
        <w:gridCol w:w="2"/>
        <w:gridCol w:w="921"/>
        <w:gridCol w:w="66"/>
        <w:gridCol w:w="2"/>
        <w:gridCol w:w="12"/>
        <w:gridCol w:w="958"/>
        <w:gridCol w:w="14"/>
        <w:gridCol w:w="733"/>
        <w:gridCol w:w="2"/>
        <w:gridCol w:w="179"/>
        <w:gridCol w:w="426"/>
        <w:gridCol w:w="2"/>
        <w:gridCol w:w="1627"/>
        <w:gridCol w:w="2"/>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456" w:type="dxa"/>
            <w:gridSpan w:val="2"/>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7232" w:type="dxa"/>
            <w:gridSpan w:val="21"/>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自然资源征收工作经费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1456" w:type="dxa"/>
            <w:gridSpan w:val="2"/>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主管部门</w:t>
            </w:r>
          </w:p>
        </w:tc>
        <w:tc>
          <w:tcPr>
            <w:tcW w:w="3195" w:type="dxa"/>
            <w:gridSpan w:val="8"/>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金华市自然资源和规划局</w:t>
            </w:r>
          </w:p>
        </w:tc>
        <w:tc>
          <w:tcPr>
            <w:tcW w:w="1966" w:type="dxa"/>
            <w:gridSpan w:val="8"/>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实施单位</w:t>
            </w:r>
          </w:p>
        </w:tc>
        <w:tc>
          <w:tcPr>
            <w:tcW w:w="2071"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金华市自然资源征收中心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 w:hRule="atLeast"/>
        </w:trPr>
        <w:tc>
          <w:tcPr>
            <w:tcW w:w="1456" w:type="dxa"/>
            <w:gridSpan w:val="2"/>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起止时间</w:t>
            </w:r>
          </w:p>
        </w:tc>
        <w:tc>
          <w:tcPr>
            <w:tcW w:w="7232" w:type="dxa"/>
            <w:gridSpan w:val="21"/>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2021.01.01-2021.12.31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1" w:hRule="atLeast"/>
        </w:trPr>
        <w:tc>
          <w:tcPr>
            <w:tcW w:w="1456" w:type="dxa"/>
            <w:gridSpan w:val="2"/>
            <w:vMerge w:val="restart"/>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项目资金（万元）</w:t>
            </w:r>
          </w:p>
        </w:tc>
        <w:tc>
          <w:tcPr>
            <w:tcW w:w="1563"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71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年初预算数</w:t>
            </w:r>
          </w:p>
        </w:tc>
        <w:tc>
          <w:tcPr>
            <w:tcW w:w="1886"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全年预算数</w:t>
            </w:r>
          </w:p>
        </w:tc>
        <w:tc>
          <w:tcPr>
            <w:tcW w:w="2071"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全年执行数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456" w:type="dxa"/>
            <w:gridSpan w:val="2"/>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563"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年度资金总额</w:t>
            </w:r>
          </w:p>
        </w:tc>
        <w:tc>
          <w:tcPr>
            <w:tcW w:w="171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10.5</w:t>
            </w:r>
          </w:p>
        </w:tc>
        <w:tc>
          <w:tcPr>
            <w:tcW w:w="1886"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10.5</w:t>
            </w:r>
          </w:p>
        </w:tc>
        <w:tc>
          <w:tcPr>
            <w:tcW w:w="2071"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atLeast"/>
        </w:trPr>
        <w:tc>
          <w:tcPr>
            <w:tcW w:w="1456" w:type="dxa"/>
            <w:gridSpan w:val="2"/>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563"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其中：市本级</w:t>
            </w:r>
          </w:p>
          <w:p>
            <w:pPr>
              <w:keepNext w:val="0"/>
              <w:keepLines w:val="0"/>
              <w:pageBreakBefore w:val="0"/>
              <w:widowControl w:val="0"/>
              <w:kinsoku/>
              <w:wordWrap/>
              <w:overflowPunct/>
              <w:topLinePunct w:val="0"/>
              <w:autoSpaceDE w:val="0"/>
              <w:autoSpaceDN w:val="0"/>
              <w:bidi w:val="0"/>
              <w:adjustRightInd/>
              <w:snapToGrid/>
              <w:spacing w:before="0" w:beforeLines="50" w:line="20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安排资金</w:t>
            </w:r>
          </w:p>
        </w:tc>
        <w:tc>
          <w:tcPr>
            <w:tcW w:w="1712" w:type="dxa"/>
            <w:gridSpan w:val="6"/>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10.5</w:t>
            </w:r>
          </w:p>
        </w:tc>
        <w:tc>
          <w:tcPr>
            <w:tcW w:w="1886"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10.5</w:t>
            </w:r>
          </w:p>
        </w:tc>
        <w:tc>
          <w:tcPr>
            <w:tcW w:w="2071" w:type="dxa"/>
            <w:gridSpan w:val="5"/>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79" w:type="dxa"/>
            <w:vMerge w:val="restart"/>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年度总体目标</w:t>
            </w:r>
          </w:p>
        </w:tc>
        <w:tc>
          <w:tcPr>
            <w:tcW w:w="4152" w:type="dxa"/>
            <w:gridSpan w:val="1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预期目标</w:t>
            </w:r>
          </w:p>
        </w:tc>
        <w:tc>
          <w:tcPr>
            <w:tcW w:w="3957" w:type="dxa"/>
            <w:gridSpan w:val="10"/>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4152" w:type="dxa"/>
            <w:gridSpan w:val="1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贯彻落实省厅、市政府对自然资源征收工作的有关要求，提升征收工作业务水平，规。做好全市征地工作的监督、管理，编制土地征收成片开发方案，指导市区建设项目的征地，做好被征地农民基本生活保障的资格认定，切实保障重点区块和重点项目建设。</w:t>
            </w:r>
          </w:p>
        </w:tc>
        <w:tc>
          <w:tcPr>
            <w:tcW w:w="3957" w:type="dxa"/>
            <w:gridSpan w:val="10"/>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照2021年市政府下达的征迁任务，做好保障服务，配合市局做好土地征收成片开发方案的编制工作，充分发挥职能优势对项目前期征迁、农转用征收报批工作做好指导，助推各类省市重点项目、多湖中央商务区块、双龙旅游区、高铁新城等重点区块建设。指导市区建设项目的征地，做好被征地农民的资格认定，为和谐征迁做好制度供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1016" w:hRule="atLeast"/>
        </w:trPr>
        <w:tc>
          <w:tcPr>
            <w:tcW w:w="579" w:type="dxa"/>
            <w:vMerge w:val="restart"/>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绩效指标</w:t>
            </w:r>
          </w:p>
        </w:tc>
        <w:tc>
          <w:tcPr>
            <w:tcW w:w="1093"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一级指标</w:t>
            </w:r>
          </w:p>
        </w:tc>
        <w:tc>
          <w:tcPr>
            <w:tcW w:w="692"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二级指标</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三级指标</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年度指标值</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实际完成值</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权重</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得分</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偏差原因分析及改进措施（必填项，可另附说明）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2727"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产出指标</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（50分）</w:t>
            </w:r>
          </w:p>
        </w:tc>
        <w:tc>
          <w:tcPr>
            <w:tcW w:w="692" w:type="dxa"/>
            <w:gridSpan w:val="2"/>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数量目标</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指标1：严格按照《浙江省土地征收程序规定》的有关要求，做好市区项目的土地征收工作，保障经济社会发展。</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保障市区经济发展用地</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2021年度全市共完成土地征收24407.5亩，支付土地征收、青苗及地上附着物补偿14.05亿元</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进一步完善推进改革创新，新征地程序严格落实。加大业务学习力度，提升征地业务能力。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1380"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2" w:type="dxa"/>
            <w:gridSpan w:val="2"/>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指标2：认真做好批后实施工作。</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按要求做好被征地农民参保工作</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2021年度共落实被征地农民参保20965</w:t>
            </w:r>
            <w:r>
              <w:rPr>
                <w:rFonts w:hint="eastAsia" w:ascii="仿宋_GB2312" w:hAnsi="仿宋_GB2312" w:eastAsia="仿宋_GB2312" w:cs="仿宋_GB2312"/>
                <w:sz w:val="24"/>
                <w:szCs w:val="24"/>
                <w:lang w:eastAsia="zh-CN"/>
              </w:rPr>
              <w:t>人</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2"/>
          <w:wAfter w:w="16" w:type="dxa"/>
          <w:trHeight w:val="4876"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2" w:type="dxa"/>
            <w:gridSpan w:val="2"/>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364"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指标3：统筹推进农村回迁安置整改工作。</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扎实做好农村回迁安置工作。</w:t>
            </w:r>
          </w:p>
        </w:tc>
        <w:tc>
          <w:tcPr>
            <w:tcW w:w="972"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截至2021年底已完成1.05万户的安置，完成率70.28%，其中3-5年、5-8年、8年以上三项安置任务共计124户454人在全省率先实现“三清零”目标，取得积极成</w:t>
            </w:r>
            <w:r>
              <w:rPr>
                <w:rFonts w:hint="eastAsia" w:ascii="仿宋_GB2312" w:hAnsi="仿宋_GB2312" w:eastAsia="仿宋_GB2312" w:cs="仿宋_GB2312"/>
                <w:sz w:val="24"/>
                <w:szCs w:val="24"/>
                <w:lang w:eastAsia="zh-CN"/>
              </w:rPr>
              <w:t>效。</w:t>
            </w:r>
          </w:p>
        </w:tc>
        <w:tc>
          <w:tcPr>
            <w:tcW w:w="747"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加快推动信息公开，土地征迁阳光透明。进一步细化公开事项、内容、时限、方式、责任主体、监督渠道等，纳入主动公开基本目录。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4725"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5" w:type="dxa"/>
            <w:gridSpan w:val="4"/>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质量目标</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着力营造“唯实惟先、善作善成”的工作文号，以“对标比拼勇赶超”、“三服务”活动为载体，对照市局重点工作任务分解表，聚焦农村土地制度改革，推进征地行为规范化标准化。完成土地征收成片开发方案编制工作。</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继续围绕省、市关于征地有关工作要求，推进征地行为规范化标准化。高标准完成土地征收成片开发方案编制工作。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699" w:hRule="atLeast"/>
        </w:trPr>
        <w:tc>
          <w:tcPr>
            <w:tcW w:w="579" w:type="dxa"/>
            <w:vMerge w:val="restart"/>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2"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时效目标</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度完成</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度完成</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提前编制工作</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计划，按时完成项目进度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891"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2"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成本目标</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项目总费用控制在预算内</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项目总费用控制在预算内</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2880"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效益指标（30分）</w:t>
            </w:r>
          </w:p>
        </w:tc>
        <w:tc>
          <w:tcPr>
            <w:tcW w:w="692" w:type="dxa"/>
            <w:gridSpan w:val="2"/>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指标1、较好地推动了市区重点项目建设；制订地上附着物和青苗补偿政策，提高了被征地农民的获得咸、幸福感。</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较好地推动了市区重点项目建设，提高征地补偿标准，提高了被征地农民的获得咸、幸福</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感。</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根据省有关文件要求，结合市区土地征收实际，制定金华市区地上附着物和青苗补偿政策，进一步明确地上附着物和青苗补偿的原则、标准及监管责任。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1540"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2" w:type="dxa"/>
            <w:gridSpan w:val="2"/>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指标2、深化“三服务”，重点项目有序建设。</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深化“三服务”，重点项目有序</w:t>
            </w:r>
          </w:p>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2140" w:hRule="atLeast"/>
        </w:trPr>
        <w:tc>
          <w:tcPr>
            <w:tcW w:w="579" w:type="dxa"/>
            <w:vMerge w:val="restart"/>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2"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指标3、全力保障农民权益，民生保障持续提高。</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全力保障农民权益，民生保障持续提高</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积极配合人社等部门做好被征地农民参加基本养老保险政策调整相关工作，做好政策解释，防控重大风险，确保平稳过度。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779"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2"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经济效益指标</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本项目实施不产生经济效益</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1935"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692"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其他效益（环境效益、可持续影响等）</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本项目实施不产生经济效益</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1545" w:hRule="atLeast"/>
        </w:trPr>
        <w:tc>
          <w:tcPr>
            <w:tcW w:w="579" w:type="dxa"/>
            <w:vMerge w:val="continue"/>
            <w:tcBorders>
              <w:top w:val="nil"/>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满意度指标（10分）</w:t>
            </w:r>
          </w:p>
        </w:tc>
        <w:tc>
          <w:tcPr>
            <w:tcW w:w="692"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w:t>
            </w:r>
          </w:p>
        </w:tc>
        <w:tc>
          <w:tcPr>
            <w:tcW w:w="136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服务对象满意度95%以上</w:t>
            </w:r>
          </w:p>
        </w:tc>
        <w:tc>
          <w:tcPr>
            <w:tcW w:w="989"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95%以上</w:t>
            </w:r>
          </w:p>
        </w:tc>
        <w:tc>
          <w:tcPr>
            <w:tcW w:w="984"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坚持以用户需求为导向，着力加强征地相关政策迭代升级，依据政策新变化做好政策衔接，保障市区经济发展</w:t>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799" w:hRule="atLeast"/>
        </w:trPr>
        <w:tc>
          <w:tcPr>
            <w:tcW w:w="579" w:type="dxa"/>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1093"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执行率指标（10分）</w:t>
            </w:r>
          </w:p>
        </w:tc>
        <w:tc>
          <w:tcPr>
            <w:tcW w:w="4031" w:type="dxa"/>
            <w:gridSpan w:val="11"/>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资金执行率：（计算方式：执行率自评得分=资金执行率*10）</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实际完成值高于预算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499" w:hRule="atLeast"/>
        </w:trPr>
        <w:tc>
          <w:tcPr>
            <w:tcW w:w="579" w:type="dxa"/>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c>
          <w:tcPr>
            <w:tcW w:w="5124" w:type="dxa"/>
            <w:gridSpan w:val="14"/>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总分</w:t>
            </w:r>
          </w:p>
        </w:tc>
        <w:tc>
          <w:tcPr>
            <w:tcW w:w="735"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97</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gridAfter w:val="1"/>
          <w:wAfter w:w="14" w:type="dxa"/>
          <w:trHeight w:val="805" w:hRule="atLeast"/>
        </w:trPr>
        <w:tc>
          <w:tcPr>
            <w:tcW w:w="1583" w:type="dxa"/>
            <w:gridSpan w:val="3"/>
            <w:tcBorders>
              <w:lef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评价结果</w:t>
            </w:r>
          </w:p>
        </w:tc>
        <w:tc>
          <w:tcPr>
            <w:tcW w:w="4855" w:type="dxa"/>
            <w:gridSpan w:val="14"/>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优：90分≤得分≤100分；良：80分≤得分&lt;90分；中：60分≤得分&lt;80分；差：得分&lt;60分</w:t>
            </w:r>
          </w:p>
        </w:tc>
        <w:tc>
          <w:tcPr>
            <w:tcW w:w="607"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629"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beforeLines="50" w:line="24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部门评价项目绩效评价结果：无。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说明：部门评价项目是指本部门自行开展的评价对象为本部门政策、项目、整体支出或下属单位整体支出的绩效评价：财政评价项目是指以由财政部门开展的评价对象为本部门政策、项目或整体支出的绩效评价项目。</w:t>
      </w:r>
    </w:p>
    <w:p>
      <w:pPr>
        <w:pStyle w:val="2"/>
        <w:bidi w:val="0"/>
        <w:rPr>
          <w:rFonts w:hint="eastAsia"/>
        </w:rPr>
      </w:pPr>
      <w:bookmarkStart w:id="56" w:name="_bookmark18"/>
      <w:bookmarkEnd w:id="56"/>
      <w:bookmarkStart w:id="57" w:name="_Toc14097_WPSOffice_Level1"/>
      <w:r>
        <w:rPr>
          <w:rFonts w:hint="eastAsia"/>
        </w:rPr>
        <w:t>四、名词解释</w:t>
      </w:r>
      <w:bookmarkEnd w:id="57"/>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财政拨款收入：指本级财政部门当年拨付的财政预算资金，包括一般公共预算财政拨款、政府性基金预算财政拨款和国有资本经营预算财政拨款。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事业收入：指事业单位开展专业业务活动及辅助活动所取得的收入。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经营收入：指事业单位在专业业务活动及辅助活动之外开展非独立核算经营活动取得的收入。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上级补助收入：指事业单位从主管部门和上级单位取得的非财政补助收入。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附属单位上缴收入：指事业单位附属独立核算单位按照有关规定上缴的收入。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其他收入：指预算单位在“财政拨款”、“事业收入”、“经营收入”、“上级补助收入”、“附属单位上缴收入”等之外取得的各项收入。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使用非财政拨款结余：指事业单位使用以前年度积累的非财政拨款结余弥补当年收支差额的金额。</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年初结转和结余：指预算单位以前年度尚未完成、结转到本年仍按原规定用途继续使用的资金。</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基本支出：指预算单位为保障其正常运转，完成日常工作任务所发生的支出，包括人员经费支出和日常公用经费支出。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项目支出：指预算单位为完成其特定的行政工作任务或事业发展目标所发生的支出。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上缴上级支出：填列事业单位按照财政部门和主管部门的规定上缴上级单位的支出。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附属单位补助支出：填列事业单位用财政补助收入之外的收入对附属单位补助发生的支出。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“三公”经费：纳入财政预决算管理的“三公”经费，是指部门用一般公共预算财政拨款安排的因公出国（境）费、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教育支出（类）进修及培训（款）培训支出（项）：指用于教育方面的支出。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社会保障和就业支出（类）行政事业单位养老支出（款）机关事业单位基本养老保险缴费支出（项）：指除上述项目以外行政事业单位离退休方面的支出。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社会保障和就业支出（类）行政事业单位养老支出（款）机关事业单位基本养老保险缴费支出（项）：指机关事业养老保险制度由单位缴纳的基本养老保险支出。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社会保障和就业支出（类）行政事业单位养老支出（款）机关事业单位职业年金缴费支出（项）：指机关事业养老保险制度由单位实际缴纳的职业年金支出。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卫生健康支出（类）行政事业单位医疗（款）事业单位医疗（项），指财政部门安排的事业单位基本医疗保险缴费经费。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卫生健康支出（类）行政事业单位医疗（款）公务员医疗补助（项），指财政部门安排的事业单位基本医疗公务员医疗补助缴费经费。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城乡社区支出（类）国有土地使用权出让收入安排的支出（项）土地出让业务支出反映土地出让收入用于土地出让业务费用的支出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自然资源海洋气象等支出（类）自然资源事务（款）事业运行（项）指事业单位的基本支出，不包括行政单位（含实行公务员管理更换事业单位）后勤服务中心等附属事业单位的支出。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住房保障支出（类）住房改革支出（款）住房公积金（项）反映行政事业单位用于按人力资源和社会保障部、财政部规定的基本工资和津贴补贴以及规定比例为职工缴纳的住房公积金。</w:t>
      </w:r>
    </w:p>
    <w:sectPr>
      <w:footerReference r:id="rId4" w:type="default"/>
      <w:pgSz w:w="12240" w:h="15840"/>
      <w:pgMar w:top="1440" w:right="1800" w:bottom="1440" w:left="1800" w:header="0" w:footer="642" w:gutter="0"/>
      <w:pgNumType w:start="1"/>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12"/>
      </w:rPr>
    </w:pPr>
    <w:r>
      <mc:AlternateContent>
        <mc:Choice Requires="wps">
          <w:drawing>
            <wp:anchor distT="0" distB="0" distL="114300" distR="114300" simplePos="0" relativeHeight="251659264" behindDoc="1" locked="0" layoutInCell="1" allowOverlap="1">
              <wp:simplePos x="0" y="0"/>
              <wp:positionH relativeFrom="page">
                <wp:posOffset>3790315</wp:posOffset>
              </wp:positionH>
              <wp:positionV relativeFrom="page">
                <wp:posOffset>9460230</wp:posOffset>
              </wp:positionV>
              <wp:extent cx="19240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2405" cy="152400"/>
                      </a:xfrm>
                      <a:prstGeom prst="rect">
                        <a:avLst/>
                      </a:prstGeom>
                      <a:noFill/>
                      <a:ln>
                        <a:noFill/>
                      </a:ln>
                    </wps:spPr>
                    <wps:txbx>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8.45pt;margin-top:744.9pt;height:12pt;width:15.15pt;mso-position-horizontal-relative:page;mso-position-vertical-relative:page;z-index:-251657216;mso-width-relative:page;mso-height-relative:page;" filled="f" stroked="f" coordsize="21600,21600" o:gfxdata="UEsDBAoAAAAAAIdO4kAAAAAAAAAAAAAAAAAEAAAAZHJzL1BLAwQUAAAACACHTuJA2/06ctsAAAAN&#10;AQAADwAAAGRycy9kb3ducmV2LnhtbE2PT0+EMBDF7yZ+h2ZMvLkt6CIgZWOMnkyMLB48FtqFZukU&#10;afeP397xpMd575c371Wbs5vY0SzBepSQrAQwg73XFgcJH+3LTQ4sRIVaTR6NhG8TYFNfXlSq1P6E&#10;jTlu48AoBEOpJIwxziXnoR+NU2HlZ4Pk7fziVKRzGbhe1InC3cRTITLulEX6MKrZPI2m328PTsLj&#10;JzbP9uute292jW3bQuBrtpfy+ioRD8CiOcc/GH7rU3WoqVPnD6gDmySsi6wglIy7vKARhGTpfQqs&#10;I2md3ObA64r/X1H/AFBLAwQUAAAACACHTuJAWNMelp0BAAAjAwAADgAAAGRycy9lMm9Eb2MueG1s&#10;rVLBbhMxEL0j9R8s34k3EUWwyqYSqlohIUAq/QDHa2ct2R5r7GY3PwB/wIkLd74r38HYTdLS3iou&#10;3tmZ8Zv33nh5MXnHthqThdDx+azhTAcFvQ2bjt9+u3r9jrOUZeilg6A7vtOJX6zOXi3H2OoFDOB6&#10;jYxAQmrH2PEh59gKkdSgvUwziDpQ0QB6mekXN6JHORK6d2LRNG/FCNhHBKVTouzlfZGvKr4xWuUv&#10;xiSdmes4ccv1xHquyylWS9luUMbBqgMN+QIWXtpAQ09QlzJLdof2GZS3CiGByTMFXoAxVumqgdTM&#10;mydqbgYZddVC5qR4sin9P1j1efsVme1pd5wF6WlF+58/9r/+7H9/Z/NizxhTS103kfry9AGm0nrI&#10;J0oW1ZNBX76kh1GdjN6dzNVTZqpcer9405xzpqg0P6e4mi8eLkdM+VqDZyXoONLuqqVy+yllGkit&#10;x5YyK8CVda7uz4V/EtRYMqIwv2dYojytpwPtNfQ7UuM+BnKyvIpjgMdgfQzuItrNQHSq5gpJm6hk&#10;Dq+mrPrxfx388LZ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b/Tpy2wAAAA0BAAAPAAAAAAAA&#10;AAEAIAAAACIAAABkcnMvZG93bnJldi54bWxQSwECFAAUAAAACACHTuJAWNMelp0BAAAjAwAADgAA&#10;AAAAAAABACAAAAAqAQAAZHJzL2Uyb0RvYy54bWxQSwUGAAAAAAYABgBZAQAAOQUAAAAA&#10;">
              <v:fill on="f" focussize="0,0"/>
              <v:stroke on="f"/>
              <v:imagedata o:title=""/>
              <o:lock v:ext="edit" aspectratio="f"/>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4"/>
  </w:compat>
  <w:rsids>
    <w:rsidRoot w:val="00000000"/>
    <w:rsid w:val="07B05FEB"/>
    <w:rsid w:val="08AA14B6"/>
    <w:rsid w:val="0CFF624D"/>
    <w:rsid w:val="0DC601EA"/>
    <w:rsid w:val="0E2F6D03"/>
    <w:rsid w:val="13C45361"/>
    <w:rsid w:val="15317588"/>
    <w:rsid w:val="1A1B6626"/>
    <w:rsid w:val="1B1B109B"/>
    <w:rsid w:val="24083952"/>
    <w:rsid w:val="24740A34"/>
    <w:rsid w:val="31867D7F"/>
    <w:rsid w:val="36155D2C"/>
    <w:rsid w:val="3B2850D3"/>
    <w:rsid w:val="3DBF4162"/>
    <w:rsid w:val="3E3567AE"/>
    <w:rsid w:val="47F74FC4"/>
    <w:rsid w:val="4B5D19F8"/>
    <w:rsid w:val="4C2C44B6"/>
    <w:rsid w:val="4C930002"/>
    <w:rsid w:val="5521557B"/>
    <w:rsid w:val="56920729"/>
    <w:rsid w:val="56BE49EF"/>
    <w:rsid w:val="57F7019C"/>
    <w:rsid w:val="59044739"/>
    <w:rsid w:val="5F9C21C1"/>
    <w:rsid w:val="6CAB6126"/>
    <w:rsid w:val="749E30A5"/>
    <w:rsid w:val="752838FD"/>
    <w:rsid w:val="75293F0F"/>
    <w:rsid w:val="769B0FD7"/>
    <w:rsid w:val="78C269B8"/>
    <w:rsid w:val="7D020304"/>
    <w:rsid w:val="7DB7332F"/>
    <w:rsid w:val="7E9E7A7F"/>
    <w:rsid w:val="7F08349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next w:val="1"/>
    <w:qFormat/>
    <w:uiPriority w:val="1"/>
    <w:pPr>
      <w:spacing w:line="560" w:lineRule="exact"/>
      <w:ind w:left="0" w:firstLine="880" w:firstLineChars="200"/>
      <w:outlineLvl w:val="0"/>
    </w:pPr>
    <w:rPr>
      <w:rFonts w:ascii="Times New Roman" w:hAnsi="Times New Roman" w:eastAsia="黑体" w:cs="Microsoft YaHei UI"/>
      <w:b/>
      <w:sz w:val="32"/>
      <w:szCs w:val="32"/>
    </w:rPr>
  </w:style>
  <w:style w:type="paragraph" w:styleId="3">
    <w:name w:val="heading 2"/>
    <w:next w:val="1"/>
    <w:unhideWhenUsed/>
    <w:qFormat/>
    <w:uiPriority w:val="0"/>
    <w:pPr>
      <w:snapToGrid w:val="0"/>
      <w:spacing w:line="560" w:lineRule="exact"/>
      <w:ind w:left="0" w:firstLine="640" w:firstLineChars="200"/>
      <w:jc w:val="left"/>
      <w:outlineLvl w:val="1"/>
    </w:pPr>
    <w:rPr>
      <w:rFonts w:hint="eastAsia" w:ascii="宋体" w:hAnsi="宋体" w:eastAsia="楷体_GB2312" w:cs="宋体"/>
      <w:b/>
      <w:sz w:val="32"/>
      <w:szCs w:val="22"/>
    </w:rPr>
  </w:style>
  <w:style w:type="character" w:default="1" w:styleId="10">
    <w:name w:val="Default Paragraph Font"/>
    <w:unhideWhenUsed/>
    <w:qFormat/>
    <w:uiPriority w:val="1"/>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580"/>
    </w:pPr>
    <w:rPr>
      <w:rFonts w:ascii="宋体" w:hAnsi="宋体" w:eastAsia="宋体" w:cs="宋体"/>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1"/>
    <w:pPr>
      <w:spacing w:before="130"/>
      <w:ind w:left="580"/>
    </w:pPr>
    <w:rPr>
      <w:rFonts w:ascii="宋体" w:hAnsi="宋体" w:eastAsia="宋体" w:cs="宋体"/>
      <w:sz w:val="32"/>
      <w:szCs w:val="32"/>
      <w:lang w:val="en-US" w:eastAsia="zh-CN" w:bidi="ar-SA"/>
    </w:rPr>
  </w:style>
  <w:style w:type="paragraph" w:styleId="8">
    <w:name w:val="toc 2"/>
    <w:basedOn w:val="1"/>
    <w:next w:val="1"/>
    <w:qFormat/>
    <w:uiPriority w:val="1"/>
    <w:pPr>
      <w:spacing w:before="130"/>
      <w:ind w:left="839"/>
    </w:pPr>
    <w:rPr>
      <w:rFonts w:ascii="宋体" w:hAnsi="宋体" w:eastAsia="宋体" w:cs="宋体"/>
      <w:sz w:val="32"/>
      <w:szCs w:val="32"/>
      <w:lang w:val="en-US" w:eastAsia="zh-CN" w:bidi="ar-SA"/>
    </w:rPr>
  </w:style>
  <w:style w:type="paragraph" w:styleId="9">
    <w:name w:val="Title"/>
    <w:basedOn w:val="1"/>
    <w:qFormat/>
    <w:uiPriority w:val="1"/>
    <w:pPr>
      <w:spacing w:line="670" w:lineRule="exact"/>
      <w:ind w:left="1467" w:right="1487"/>
      <w:jc w:val="center"/>
    </w:pPr>
    <w:rPr>
      <w:rFonts w:ascii="Microsoft JhengHei" w:hAnsi="Microsoft JhengHei" w:eastAsia="Microsoft JhengHei" w:cs="Microsoft JhengHei"/>
      <w:b/>
      <w:bCs/>
      <w:sz w:val="44"/>
      <w:szCs w:val="44"/>
      <w:lang w:val="en-US" w:eastAsia="zh-CN" w:bidi="ar-SA"/>
    </w:rPr>
  </w:style>
  <w:style w:type="table" w:customStyle="1" w:styleId="12">
    <w:name w:val="Table Normal"/>
    <w:unhideWhenUsed/>
    <w:qFormat/>
    <w:uiPriority w:val="2"/>
    <w:tblPr>
      <w:tblLayout w:type="fixed"/>
      <w:tblCellMar>
        <w:top w:w="0" w:type="dxa"/>
        <w:left w:w="0" w:type="dxa"/>
        <w:bottom w:w="0" w:type="dxa"/>
        <w:right w:w="0" w:type="dxa"/>
      </w:tblCellMar>
    </w:tblPr>
  </w:style>
  <w:style w:type="paragraph" w:customStyle="1" w:styleId="13">
    <w:name w:val="List Paragraph"/>
    <w:basedOn w:val="1"/>
    <w:qFormat/>
    <w:uiPriority w:val="1"/>
    <w:pPr>
      <w:ind w:left="580" w:firstLine="640"/>
    </w:pPr>
    <w:rPr>
      <w:rFonts w:ascii="宋体" w:hAnsi="宋体" w:eastAsia="宋体" w:cs="宋体"/>
      <w:lang w:val="en-US" w:eastAsia="zh-CN" w:bidi="ar-SA"/>
    </w:rPr>
  </w:style>
  <w:style w:type="paragraph" w:customStyle="1" w:styleId="14">
    <w:name w:val="Table Paragraph"/>
    <w:basedOn w:val="1"/>
    <w:qFormat/>
    <w:uiPriority w:val="1"/>
    <w:rPr>
      <w:rFonts w:ascii="宋体" w:hAnsi="宋体" w:eastAsia="宋体" w:cs="宋体"/>
      <w:lang w:val="en-US" w:eastAsia="zh-CN" w:bidi="ar-SA"/>
    </w:rPr>
  </w:style>
  <w:style w:type="paragraph" w:customStyle="1" w:styleId="15">
    <w:name w:val="WPSOffice手动目录 1"/>
    <w:qFormat/>
    <w:uiPriority w:val="0"/>
    <w:pPr>
      <w:ind w:leftChars="0"/>
    </w:pPr>
    <w:rPr>
      <w:rFonts w:asciiTheme="minorHAnsi" w:hAnsiTheme="minorHAnsi" w:eastAsiaTheme="minorHAnsi" w:cstheme="minorBidi"/>
      <w:sz w:val="20"/>
      <w:szCs w:val="20"/>
    </w:rPr>
  </w:style>
  <w:style w:type="paragraph" w:customStyle="1" w:styleId="16">
    <w:name w:val="WPSOffice手动目录 2"/>
    <w:qFormat/>
    <w:uiPriority w:val="0"/>
    <w:pPr>
      <w:ind w:leftChars="2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38deec5-5dc1-4519-839b-542556f57ff6}"/>
        <w:style w:val=""/>
        <w:category>
          <w:name w:val="常规"/>
          <w:gallery w:val="placeholder"/>
        </w:category>
        <w:types>
          <w:type w:val="bbPlcHdr"/>
        </w:types>
        <w:behaviors>
          <w:behavior w:val="content"/>
        </w:behaviors>
        <w:description w:val=""/>
        <w:guid w:val="{638deec5-5dc1-4519-839b-542556f57ff6}"/>
      </w:docPartPr>
      <w:docPartBody>
        <w:p>
          <w:r>
            <w:rPr>
              <w:color w:val="808080"/>
            </w:rPr>
            <w:t>单击此处输入文字。</w:t>
          </w:r>
        </w:p>
      </w:docPartBody>
    </w:docPart>
    <w:docPart>
      <w:docPartPr>
        <w:name w:val="{14447341-9983-4048-bfa8-b3a6900c25ca}"/>
        <w:style w:val=""/>
        <w:category>
          <w:name w:val="常规"/>
          <w:gallery w:val="placeholder"/>
        </w:category>
        <w:types>
          <w:type w:val="bbPlcHdr"/>
        </w:types>
        <w:behaviors>
          <w:behavior w:val="content"/>
        </w:behaviors>
        <w:description w:val=""/>
        <w:guid w:val="{14447341-9983-4048-bfa8-b3a6900c25ca}"/>
      </w:docPartPr>
      <w:docPartBody>
        <w:p>
          <w:r>
            <w:rPr>
              <w:color w:val="808080"/>
            </w:rPr>
            <w:t>单击此处输入文字。</w:t>
          </w:r>
        </w:p>
      </w:docPartBody>
    </w:docPart>
    <w:docPart>
      <w:docPartPr>
        <w:name w:val="{43cdc111-4950-4c33-a6c6-6be32124c1a0}"/>
        <w:style w:val=""/>
        <w:category>
          <w:name w:val="常规"/>
          <w:gallery w:val="placeholder"/>
        </w:category>
        <w:types>
          <w:type w:val="bbPlcHdr"/>
        </w:types>
        <w:behaviors>
          <w:behavior w:val="content"/>
        </w:behaviors>
        <w:description w:val=""/>
        <w:guid w:val="{43cdc111-4950-4c33-a6c6-6be32124c1a0}"/>
      </w:docPartPr>
      <w:docPartBody>
        <w:p>
          <w:r>
            <w:rPr>
              <w:color w:val="808080"/>
            </w:rPr>
            <w:t>单击此处输入文字。</w:t>
          </w:r>
        </w:p>
      </w:docPartBody>
    </w:docPart>
    <w:docPart>
      <w:docPartPr>
        <w:name w:val="{c21e24de-8592-4c09-9440-8ce6a4f2e4fa}"/>
        <w:style w:val=""/>
        <w:category>
          <w:name w:val="常规"/>
          <w:gallery w:val="placeholder"/>
        </w:category>
        <w:types>
          <w:type w:val="bbPlcHdr"/>
        </w:types>
        <w:behaviors>
          <w:behavior w:val="content"/>
        </w:behaviors>
        <w:description w:val=""/>
        <w:guid w:val="{c21e24de-8592-4c09-9440-8ce6a4f2e4fa}"/>
      </w:docPartPr>
      <w:docPartBody>
        <w:p>
          <w:r>
            <w:rPr>
              <w:color w:val="808080"/>
            </w:rPr>
            <w:t>单击此处输入文字。</w:t>
          </w:r>
        </w:p>
      </w:docPartBody>
    </w:docPart>
    <w:docPart>
      <w:docPartPr>
        <w:name w:val="{04dc21a4-39e9-43fd-9b17-937c40079ddd}"/>
        <w:style w:val=""/>
        <w:category>
          <w:name w:val="常规"/>
          <w:gallery w:val="placeholder"/>
        </w:category>
        <w:types>
          <w:type w:val="bbPlcHdr"/>
        </w:types>
        <w:behaviors>
          <w:behavior w:val="content"/>
        </w:behaviors>
        <w:description w:val=""/>
        <w:guid w:val="{04dc21a4-39e9-43fd-9b17-937c40079ddd}"/>
      </w:docPartPr>
      <w:docPartBody>
        <w:p>
          <w:r>
            <w:rPr>
              <w:color w:val="808080"/>
            </w:rPr>
            <w:t>单击此处输入文字。</w:t>
          </w:r>
        </w:p>
      </w:docPartBody>
    </w:docPart>
    <w:docPart>
      <w:docPartPr>
        <w:name w:val="{a97bb5c8-7d7a-4cf4-9524-8ad277fe7f5d}"/>
        <w:style w:val=""/>
        <w:category>
          <w:name w:val="常规"/>
          <w:gallery w:val="placeholder"/>
        </w:category>
        <w:types>
          <w:type w:val="bbPlcHdr"/>
        </w:types>
        <w:behaviors>
          <w:behavior w:val="content"/>
        </w:behaviors>
        <w:description w:val=""/>
        <w:guid w:val="{a97bb5c8-7d7a-4cf4-9524-8ad277fe7f5d}"/>
      </w:docPartPr>
      <w:docPartBody>
        <w:p>
          <w:r>
            <w:rPr>
              <w:color w:val="808080"/>
            </w:rPr>
            <w:t>单击此处输入文字。</w:t>
          </w:r>
        </w:p>
      </w:docPartBody>
    </w:docPart>
    <w:docPart>
      <w:docPartPr>
        <w:name w:val="{1de506fa-4556-4a39-bbed-661537b8f7e7}"/>
        <w:style w:val=""/>
        <w:category>
          <w:name w:val="常规"/>
          <w:gallery w:val="placeholder"/>
        </w:category>
        <w:types>
          <w:type w:val="bbPlcHdr"/>
        </w:types>
        <w:behaviors>
          <w:behavior w:val="content"/>
        </w:behaviors>
        <w:description w:val=""/>
        <w:guid w:val="{1de506fa-4556-4a39-bbed-661537b8f7e7}"/>
      </w:docPartPr>
      <w:docPartBody>
        <w:p>
          <w:r>
            <w:rPr>
              <w:color w:val="808080"/>
            </w:rPr>
            <w:t>单击此处输入文字。</w:t>
          </w:r>
        </w:p>
      </w:docPartBody>
    </w:docPart>
    <w:docPart>
      <w:docPartPr>
        <w:name w:val="{3fa74d64-5e8a-475f-b646-abf9ff515275}"/>
        <w:style w:val=""/>
        <w:category>
          <w:name w:val="常规"/>
          <w:gallery w:val="placeholder"/>
        </w:category>
        <w:types>
          <w:type w:val="bbPlcHdr"/>
        </w:types>
        <w:behaviors>
          <w:behavior w:val="content"/>
        </w:behaviors>
        <w:description w:val=""/>
        <w:guid w:val="{3fa74d64-5e8a-475f-b646-abf9ff515275}"/>
      </w:docPartPr>
      <w:docPartBody>
        <w:p>
          <w:r>
            <w:rPr>
              <w:color w:val="808080"/>
            </w:rPr>
            <w:t>单击此处输入文字。</w:t>
          </w:r>
        </w:p>
      </w:docPartBody>
    </w:docPart>
    <w:docPart>
      <w:docPartPr>
        <w:name w:val="{25541cf9-bb5b-4e84-8404-03514220d9ef}"/>
        <w:style w:val=""/>
        <w:category>
          <w:name w:val="常规"/>
          <w:gallery w:val="placeholder"/>
        </w:category>
        <w:types>
          <w:type w:val="bbPlcHdr"/>
        </w:types>
        <w:behaviors>
          <w:behavior w:val="content"/>
        </w:behaviors>
        <w:description w:val=""/>
        <w:guid w:val="{25541cf9-bb5b-4e84-8404-03514220d9ef}"/>
      </w:docPartPr>
      <w:docPartBody>
        <w:p>
          <w:r>
            <w:rPr>
              <w:color w:val="808080"/>
            </w:rPr>
            <w:t>单击此处输入文字。</w:t>
          </w:r>
        </w:p>
      </w:docPartBody>
    </w:docPart>
    <w:docPart>
      <w:docPartPr>
        <w:name w:val="{1ea663bd-f2f6-4443-8676-827b3ed54826}"/>
        <w:style w:val=""/>
        <w:category>
          <w:name w:val="常规"/>
          <w:gallery w:val="placeholder"/>
        </w:category>
        <w:types>
          <w:type w:val="bbPlcHdr"/>
        </w:types>
        <w:behaviors>
          <w:behavior w:val="content"/>
        </w:behaviors>
        <w:description w:val=""/>
        <w:guid w:val="{1ea663bd-f2f6-4443-8676-827b3ed54826}"/>
      </w:docPartPr>
      <w:docPartBody>
        <w:p>
          <w:r>
            <w:rPr>
              <w:color w:val="808080"/>
            </w:rPr>
            <w:t>单击此处输入文字。</w:t>
          </w:r>
        </w:p>
      </w:docPartBody>
    </w:docPart>
    <w:docPart>
      <w:docPartPr>
        <w:name w:val="{34ff5a3e-f138-4122-af57-fb590401be98}"/>
        <w:style w:val=""/>
        <w:category>
          <w:name w:val="常规"/>
          <w:gallery w:val="placeholder"/>
        </w:category>
        <w:types>
          <w:type w:val="bbPlcHdr"/>
        </w:types>
        <w:behaviors>
          <w:behavior w:val="content"/>
        </w:behaviors>
        <w:description w:val=""/>
        <w:guid w:val="{34ff5a3e-f138-4122-af57-fb590401be98}"/>
      </w:docPartPr>
      <w:docPartBody>
        <w:p>
          <w:r>
            <w:rPr>
              <w:color w:val="808080"/>
            </w:rPr>
            <w:t>单击此处输入文字。</w:t>
          </w:r>
        </w:p>
      </w:docPartBody>
    </w:docPart>
    <w:docPart>
      <w:docPartPr>
        <w:name w:val="{b5442864-ef9e-4f86-b82f-51163e4d5d44}"/>
        <w:style w:val=""/>
        <w:category>
          <w:name w:val="常规"/>
          <w:gallery w:val="placeholder"/>
        </w:category>
        <w:types>
          <w:type w:val="bbPlcHdr"/>
        </w:types>
        <w:behaviors>
          <w:behavior w:val="content"/>
        </w:behaviors>
        <w:description w:val=""/>
        <w:guid w:val="{b5442864-ef9e-4f86-b82f-51163e4d5d44}"/>
      </w:docPartPr>
      <w:docPartBody>
        <w:p>
          <w:r>
            <w:rPr>
              <w:color w:val="808080"/>
            </w:rPr>
            <w:t>单击此处输入文字。</w:t>
          </w:r>
        </w:p>
      </w:docPartBody>
    </w:docPart>
    <w:docPart>
      <w:docPartPr>
        <w:name w:val="{839a3f7b-73f8-4486-b4b2-14b1390b718b}"/>
        <w:style w:val=""/>
        <w:category>
          <w:name w:val="常规"/>
          <w:gallery w:val="placeholder"/>
        </w:category>
        <w:types>
          <w:type w:val="bbPlcHdr"/>
        </w:types>
        <w:behaviors>
          <w:behavior w:val="content"/>
        </w:behaviors>
        <w:description w:val=""/>
        <w:guid w:val="{839a3f7b-73f8-4486-b4b2-14b1390b718b}"/>
      </w:docPartPr>
      <w:docPartBody>
        <w:p>
          <w:r>
            <w:rPr>
              <w:color w:val="808080"/>
            </w:rPr>
            <w:t>单击此处输入文字。</w:t>
          </w:r>
        </w:p>
      </w:docPartBody>
    </w:docPart>
    <w:docPart>
      <w:docPartPr>
        <w:name w:val="{41698b96-8f91-43fe-9165-994387a5611c}"/>
        <w:style w:val=""/>
        <w:category>
          <w:name w:val="常规"/>
          <w:gallery w:val="placeholder"/>
        </w:category>
        <w:types>
          <w:type w:val="bbPlcHdr"/>
        </w:types>
        <w:behaviors>
          <w:behavior w:val="content"/>
        </w:behaviors>
        <w:description w:val=""/>
        <w:guid w:val="{41698b96-8f91-43fe-9165-994387a5611c}"/>
      </w:docPartPr>
      <w:docPartBody>
        <w:p>
          <w:r>
            <w:rPr>
              <w:color w:val="808080"/>
            </w:rPr>
            <w:t>单击此处输入文字。</w:t>
          </w:r>
        </w:p>
      </w:docPartBody>
    </w:docPart>
    <w:docPart>
      <w:docPartPr>
        <w:name w:val="{4472c7f0-1cd2-4188-8da5-679da11e535d}"/>
        <w:style w:val=""/>
        <w:category>
          <w:name w:val="常规"/>
          <w:gallery w:val="placeholder"/>
        </w:category>
        <w:types>
          <w:type w:val="bbPlcHdr"/>
        </w:types>
        <w:behaviors>
          <w:behavior w:val="content"/>
        </w:behaviors>
        <w:description w:val=""/>
        <w:guid w:val="{4472c7f0-1cd2-4188-8da5-679da11e535d}"/>
      </w:docPartPr>
      <w:docPartBody>
        <w:p>
          <w:r>
            <w:rPr>
              <w:color w:val="808080"/>
            </w:rPr>
            <w:t>单击此处输入文字。</w:t>
          </w:r>
        </w:p>
      </w:docPartBody>
    </w:docPart>
    <w:docPart>
      <w:docPartPr>
        <w:name w:val="{216a910b-9aed-464e-9bb2-ff78e19beb41}"/>
        <w:style w:val=""/>
        <w:category>
          <w:name w:val="常规"/>
          <w:gallery w:val="placeholder"/>
        </w:category>
        <w:types>
          <w:type w:val="bbPlcHdr"/>
        </w:types>
        <w:behaviors>
          <w:behavior w:val="content"/>
        </w:behaviors>
        <w:description w:val=""/>
        <w:guid w:val="{216a910b-9aed-464e-9bb2-ff78e19beb41}"/>
      </w:docPartPr>
      <w:docPartBody>
        <w:p>
          <w:r>
            <w:rPr>
              <w:color w:val="808080"/>
            </w:rPr>
            <w:t>单击此处输入文字。</w:t>
          </w:r>
        </w:p>
      </w:docPartBody>
    </w:docPart>
    <w:docPart>
      <w:docPartPr>
        <w:name w:val="{a09da031-4808-4797-9660-b265583b8641}"/>
        <w:style w:val=""/>
        <w:category>
          <w:name w:val="常规"/>
          <w:gallery w:val="placeholder"/>
        </w:category>
        <w:types>
          <w:type w:val="bbPlcHdr"/>
        </w:types>
        <w:behaviors>
          <w:behavior w:val="content"/>
        </w:behaviors>
        <w:description w:val=""/>
        <w:guid w:val="{a09da031-4808-4797-9660-b265583b8641}"/>
      </w:docPartPr>
      <w:docPartBody>
        <w:p>
          <w:r>
            <w:rPr>
              <w:color w:val="808080"/>
            </w:rPr>
            <w:t>单击此处输入文字。</w:t>
          </w:r>
        </w:p>
      </w:docPartBody>
    </w:docPart>
    <w:docPart>
      <w:docPartPr>
        <w:name w:val="{9a5abbba-387a-4f32-91d1-10f8d3380093}"/>
        <w:style w:val=""/>
        <w:category>
          <w:name w:val="常规"/>
          <w:gallery w:val="placeholder"/>
        </w:category>
        <w:types>
          <w:type w:val="bbPlcHdr"/>
        </w:types>
        <w:behaviors>
          <w:behavior w:val="content"/>
        </w:behaviors>
        <w:description w:val=""/>
        <w:guid w:val="{9a5abbba-387a-4f32-91d1-10f8d3380093}"/>
      </w:docPartPr>
      <w:docPartBody>
        <w:p>
          <w:r>
            <w:rPr>
              <w:color w:val="808080"/>
            </w:rPr>
            <w:t>单击此处输入文字。</w:t>
          </w:r>
        </w:p>
      </w:docPartBody>
    </w:docPart>
    <w:docPart>
      <w:docPartPr>
        <w:name w:val="{42c5732e-20e8-44b0-8589-03be674f1b26}"/>
        <w:style w:val=""/>
        <w:category>
          <w:name w:val="常规"/>
          <w:gallery w:val="placeholder"/>
        </w:category>
        <w:types>
          <w:type w:val="bbPlcHdr"/>
        </w:types>
        <w:behaviors>
          <w:behavior w:val="content"/>
        </w:behaviors>
        <w:description w:val=""/>
        <w:guid w:val="{42c5732e-20e8-44b0-8589-03be674f1b2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2023-08-14T06:48:00Z</dcterms:created>
  <dc:creator>lenovo</dc:creator>
  <cp:lastModifiedBy>Administrator</cp:lastModifiedBy>
  <cp:lastPrinted>2023-08-19T06:08:00Z</cp:lastPrinted>
  <dcterms:modified xsi:type="dcterms:W3CDTF">2023-08-21T00:59:28Z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Microsoft® Word 2013</vt:lpwstr>
  </property>
  <property fmtid="{D5CDD505-2E9C-101B-9397-08002B2CF9AE}" pid="4" name="LastSaved">
    <vt:filetime>2023-08-14T00:00:00Z</vt:filetime>
  </property>
  <property fmtid="{D5CDD505-2E9C-101B-9397-08002B2CF9AE}" pid="5" name="KSOProductBuildVer">
    <vt:lpwstr>2052-10.8.0.5988</vt:lpwstr>
  </property>
</Properties>
</file>