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spacing w:beforeLines="0" w:afterLines="0" w:line="324" w:lineRule="auto"/>
        <w:jc w:val="center"/>
        <w:rPr>
          <w:rFonts w:hint="default" w:ascii="黑体" w:eastAsia="黑体"/>
          <w:b/>
          <w:color w:val="000000"/>
          <w:spacing w:val="15"/>
          <w:sz w:val="44"/>
        </w:rPr>
      </w:pPr>
      <w:bookmarkStart w:id="0" w:name="_GoBack"/>
      <w:bookmarkEnd w:id="0"/>
      <w:r>
        <w:rPr>
          <w:rFonts w:hint="eastAsia" w:ascii="黑体" w:eastAsia="黑体"/>
          <w:b/>
          <w:color w:val="000000"/>
          <w:spacing w:val="15"/>
          <w:sz w:val="44"/>
        </w:rPr>
        <w:t>金华市自然资源和规划局金东分局</w:t>
      </w:r>
      <w:r>
        <w:rPr>
          <w:rFonts w:hint="eastAsia" w:ascii="黑体" w:eastAsia="黑体"/>
          <w:b/>
          <w:color w:val="000000"/>
          <w:sz w:val="44"/>
          <w:highlight w:val="white"/>
        </w:rPr>
        <w:t>2020年度单位决算</w:t>
      </w:r>
    </w:p>
    <w:p>
      <w:pPr>
        <w:autoSpaceDE w:val="0"/>
        <w:autoSpaceDN w:val="0"/>
        <w:adjustRightInd w:val="0"/>
        <w:spacing w:beforeLines="0" w:afterLines="0" w:line="324" w:lineRule="auto"/>
        <w:jc w:val="center"/>
        <w:rPr>
          <w:rFonts w:hint="default" w:ascii="黑体" w:eastAsia="黑体"/>
          <w:b/>
          <w:color w:val="000000"/>
          <w:sz w:val="44"/>
          <w:highlight w:val="white"/>
        </w:rPr>
      </w:pPr>
      <w:r>
        <w:rPr>
          <w:rFonts w:hint="eastAsia" w:ascii="黑体" w:eastAsia="黑体"/>
          <w:b/>
          <w:color w:val="000000"/>
          <w:sz w:val="44"/>
          <w:highlight w:val="white"/>
        </w:rPr>
        <w:t>目录</w:t>
      </w:r>
    </w:p>
    <w:p>
      <w:pPr>
        <w:spacing w:beforeLines="0" w:afterLines="0" w:line="560" w:lineRule="exact"/>
        <w:jc w:val="left"/>
        <w:rPr>
          <w:rFonts w:hint="eastAsia" w:ascii="仿宋" w:hAnsi="仿宋" w:eastAsia="仿宋"/>
          <w:sz w:val="28"/>
        </w:rPr>
      </w:pPr>
      <w:r>
        <w:rPr>
          <w:rFonts w:hint="eastAsia" w:ascii="仿宋" w:hAnsi="仿宋" w:eastAsia="仿宋"/>
          <w:color w:val="000000"/>
          <w:sz w:val="28"/>
          <w:highlight w:val="white"/>
        </w:rPr>
        <w:t>一、概况</w:t>
      </w:r>
      <w:r>
        <w:rPr>
          <w:rFonts w:hint="default" w:ascii="仿宋" w:hAnsi="仿宋" w:eastAsia="仿宋"/>
          <w:color w:val="000000"/>
          <w:sz w:val="28"/>
          <w:highlight w:val="white"/>
        </w:rPr>
        <w:t>..............................................</w:t>
      </w:r>
      <w:r>
        <w:rPr>
          <w:rFonts w:hint="eastAsia" w:ascii="仿宋" w:hAnsi="仿宋" w:eastAsia="仿宋"/>
          <w:sz w:val="28"/>
        </w:rPr>
        <w:t>( 2 )</w:t>
      </w:r>
    </w:p>
    <w:p>
      <w:pPr>
        <w:spacing w:beforeLines="0" w:afterLines="0" w:line="560" w:lineRule="exact"/>
        <w:jc w:val="left"/>
        <w:rPr>
          <w:rFonts w:hint="eastAsia" w:ascii="仿宋" w:hAnsi="仿宋" w:eastAsia="仿宋"/>
          <w:sz w:val="28"/>
        </w:rPr>
      </w:pPr>
      <w:r>
        <w:rPr>
          <w:rFonts w:hint="eastAsia" w:ascii="仿宋" w:hAnsi="仿宋" w:eastAsia="仿宋"/>
          <w:color w:val="000000"/>
          <w:sz w:val="28"/>
          <w:highlight w:val="white"/>
        </w:rPr>
        <w:t>（一）部门（单位）职责</w:t>
      </w:r>
      <w:r>
        <w:rPr>
          <w:rFonts w:hint="default" w:ascii="仿宋" w:hAnsi="仿宋" w:eastAsia="仿宋"/>
          <w:color w:val="000000"/>
          <w:sz w:val="28"/>
          <w:highlight w:val="white"/>
        </w:rPr>
        <w:t>.................................</w:t>
      </w:r>
      <w:r>
        <w:rPr>
          <w:rFonts w:hint="eastAsia" w:ascii="仿宋" w:hAnsi="仿宋" w:eastAsia="仿宋"/>
          <w:sz w:val="28"/>
        </w:rPr>
        <w:t>( 2 )</w:t>
      </w:r>
    </w:p>
    <w:p>
      <w:pPr>
        <w:spacing w:beforeLines="0" w:afterLines="0" w:line="560" w:lineRule="exact"/>
        <w:jc w:val="left"/>
        <w:rPr>
          <w:rFonts w:hint="eastAsia" w:ascii="仿宋" w:hAnsi="仿宋" w:eastAsia="仿宋"/>
          <w:sz w:val="28"/>
        </w:rPr>
      </w:pPr>
      <w:r>
        <w:rPr>
          <w:rFonts w:hint="eastAsia" w:ascii="仿宋" w:hAnsi="仿宋" w:eastAsia="仿宋"/>
          <w:color w:val="000000"/>
          <w:sz w:val="28"/>
          <w:highlight w:val="white"/>
        </w:rPr>
        <w:t>（二）机构设置</w:t>
      </w:r>
      <w:r>
        <w:rPr>
          <w:rFonts w:hint="default" w:ascii="仿宋" w:hAnsi="仿宋" w:eastAsia="仿宋"/>
          <w:color w:val="000000"/>
          <w:sz w:val="28"/>
          <w:highlight w:val="white"/>
        </w:rPr>
        <w:t>..........................................</w:t>
      </w:r>
      <w:r>
        <w:rPr>
          <w:rFonts w:hint="eastAsia" w:ascii="仿宋" w:hAnsi="仿宋" w:eastAsia="仿宋"/>
          <w:sz w:val="28"/>
        </w:rPr>
        <w:t>( 2 )</w:t>
      </w:r>
    </w:p>
    <w:p>
      <w:pPr>
        <w:spacing w:beforeLines="0" w:afterLines="0" w:line="560" w:lineRule="exact"/>
        <w:jc w:val="left"/>
        <w:rPr>
          <w:rFonts w:hint="eastAsia" w:ascii="仿宋" w:hAnsi="仿宋" w:eastAsia="仿宋"/>
          <w:sz w:val="28"/>
        </w:rPr>
      </w:pPr>
      <w:r>
        <w:rPr>
          <w:rFonts w:hint="eastAsia" w:ascii="仿宋" w:hAnsi="仿宋" w:eastAsia="仿宋"/>
          <w:sz w:val="28"/>
        </w:rPr>
        <w:t>二、</w:t>
      </w:r>
      <w:r>
        <w:rPr>
          <w:rFonts w:hint="eastAsia" w:ascii="仿宋" w:hAnsi="仿宋" w:eastAsia="仿宋"/>
          <w:color w:val="000000"/>
          <w:sz w:val="28"/>
          <w:highlight w:val="white"/>
        </w:rPr>
        <w:t>2020年度部门（单位）决算公开表</w:t>
      </w:r>
      <w:r>
        <w:rPr>
          <w:rFonts w:hint="default" w:ascii="仿宋" w:hAnsi="仿宋" w:eastAsia="仿宋"/>
          <w:color w:val="000000"/>
          <w:sz w:val="28"/>
          <w:highlight w:val="white"/>
        </w:rPr>
        <w:t>........................</w:t>
      </w:r>
      <w:r>
        <w:rPr>
          <w:rFonts w:hint="eastAsia" w:ascii="仿宋" w:hAnsi="仿宋" w:eastAsia="仿宋"/>
          <w:sz w:val="28"/>
        </w:rPr>
        <w:t>( 2)</w:t>
      </w:r>
    </w:p>
    <w:p>
      <w:pPr>
        <w:spacing w:beforeLines="0" w:afterLines="0" w:line="560" w:lineRule="exact"/>
        <w:jc w:val="left"/>
        <w:rPr>
          <w:rFonts w:hint="eastAsia" w:ascii="仿宋" w:hAnsi="仿宋" w:eastAsia="仿宋"/>
          <w:sz w:val="28"/>
        </w:rPr>
      </w:pPr>
      <w:r>
        <w:rPr>
          <w:rFonts w:hint="eastAsia" w:ascii="仿宋" w:hAnsi="仿宋" w:eastAsia="仿宋"/>
          <w:sz w:val="28"/>
          <w:highlight w:val="white"/>
          <w:lang w:val="zh-CN"/>
        </w:rPr>
        <w:t>三、</w:t>
      </w:r>
      <w:r>
        <w:rPr>
          <w:rFonts w:hint="eastAsia" w:ascii="仿宋" w:hAnsi="仿宋" w:eastAsia="仿宋"/>
          <w:color w:val="000000"/>
          <w:sz w:val="28"/>
          <w:highlight w:val="white"/>
        </w:rPr>
        <w:t>2020年度部门（单位）决算情况说明</w:t>
      </w:r>
      <w:r>
        <w:rPr>
          <w:rFonts w:hint="default" w:ascii="仿宋" w:hAnsi="仿宋" w:eastAsia="仿宋"/>
          <w:color w:val="000000"/>
          <w:sz w:val="28"/>
          <w:highlight w:val="white"/>
        </w:rPr>
        <w:t>......................</w:t>
      </w:r>
      <w:r>
        <w:rPr>
          <w:rFonts w:hint="eastAsia" w:ascii="仿宋" w:hAnsi="仿宋" w:eastAsia="仿宋"/>
          <w:sz w:val="28"/>
        </w:rPr>
        <w:t>( 2)</w:t>
      </w:r>
    </w:p>
    <w:p>
      <w:pPr>
        <w:spacing w:beforeLines="0" w:afterLines="0" w:line="560" w:lineRule="exact"/>
        <w:jc w:val="left"/>
        <w:rPr>
          <w:rFonts w:hint="eastAsia" w:ascii="仿宋" w:hAnsi="仿宋" w:eastAsia="仿宋"/>
          <w:sz w:val="28"/>
        </w:rPr>
      </w:pPr>
      <w:r>
        <w:rPr>
          <w:rFonts w:hint="eastAsia" w:ascii="仿宋" w:hAnsi="仿宋" w:eastAsia="仿宋"/>
          <w:color w:val="000000"/>
          <w:sz w:val="28"/>
          <w:highlight w:val="white"/>
        </w:rPr>
        <w:t>（一）收入支出决算总体情况说明</w:t>
      </w:r>
      <w:r>
        <w:rPr>
          <w:rFonts w:hint="default" w:ascii="仿宋" w:hAnsi="仿宋" w:eastAsia="仿宋"/>
          <w:color w:val="000000"/>
          <w:sz w:val="28"/>
          <w:highlight w:val="white"/>
        </w:rPr>
        <w:t>..........................</w:t>
      </w:r>
      <w:r>
        <w:rPr>
          <w:rFonts w:hint="eastAsia" w:ascii="仿宋" w:hAnsi="仿宋" w:eastAsia="仿宋"/>
          <w:sz w:val="28"/>
        </w:rPr>
        <w:t>( 2)</w:t>
      </w:r>
    </w:p>
    <w:p>
      <w:pPr>
        <w:spacing w:beforeLines="0" w:afterLines="0" w:line="560" w:lineRule="exact"/>
        <w:jc w:val="left"/>
        <w:rPr>
          <w:rFonts w:hint="eastAsia" w:ascii="仿宋" w:hAnsi="仿宋" w:eastAsia="仿宋"/>
          <w:sz w:val="28"/>
        </w:rPr>
      </w:pPr>
      <w:r>
        <w:rPr>
          <w:rFonts w:hint="eastAsia" w:ascii="仿宋" w:hAnsi="仿宋" w:eastAsia="仿宋"/>
          <w:color w:val="000000"/>
          <w:sz w:val="28"/>
          <w:highlight w:val="white"/>
        </w:rPr>
        <w:t>（二）收入决算情况说明</w:t>
      </w:r>
      <w:r>
        <w:rPr>
          <w:rFonts w:hint="default" w:ascii="仿宋" w:hAnsi="仿宋" w:eastAsia="仿宋"/>
          <w:color w:val="000000"/>
          <w:sz w:val="28"/>
          <w:highlight w:val="white"/>
        </w:rPr>
        <w:t>..................................</w:t>
      </w:r>
      <w:r>
        <w:rPr>
          <w:rFonts w:hint="eastAsia" w:ascii="仿宋" w:hAnsi="仿宋" w:eastAsia="仿宋"/>
          <w:sz w:val="28"/>
        </w:rPr>
        <w:t>( 3 )</w:t>
      </w:r>
    </w:p>
    <w:p>
      <w:pPr>
        <w:spacing w:beforeLines="0" w:afterLines="0" w:line="560" w:lineRule="exact"/>
        <w:jc w:val="left"/>
        <w:rPr>
          <w:rFonts w:hint="eastAsia" w:ascii="仿宋" w:hAnsi="仿宋" w:eastAsia="仿宋"/>
          <w:sz w:val="28"/>
        </w:rPr>
      </w:pPr>
      <w:r>
        <w:rPr>
          <w:rFonts w:hint="eastAsia" w:ascii="仿宋" w:hAnsi="仿宋" w:eastAsia="仿宋"/>
          <w:color w:val="000000"/>
          <w:sz w:val="28"/>
          <w:highlight w:val="white"/>
        </w:rPr>
        <w:t>（三）支出决算情况说明</w:t>
      </w:r>
      <w:r>
        <w:rPr>
          <w:rFonts w:hint="default" w:ascii="仿宋" w:hAnsi="仿宋" w:eastAsia="仿宋"/>
          <w:color w:val="000000"/>
          <w:sz w:val="28"/>
          <w:highlight w:val="white"/>
        </w:rPr>
        <w:t>..................................</w:t>
      </w:r>
      <w:r>
        <w:rPr>
          <w:rFonts w:hint="eastAsia" w:ascii="仿宋" w:hAnsi="仿宋" w:eastAsia="仿宋"/>
          <w:sz w:val="28"/>
        </w:rPr>
        <w:t>( 3)</w:t>
      </w:r>
    </w:p>
    <w:p>
      <w:pPr>
        <w:spacing w:beforeLines="0" w:afterLines="0" w:line="560" w:lineRule="exact"/>
        <w:jc w:val="left"/>
        <w:rPr>
          <w:rFonts w:hint="eastAsia" w:ascii="仿宋" w:hAnsi="仿宋" w:eastAsia="仿宋"/>
          <w:sz w:val="28"/>
        </w:rPr>
      </w:pPr>
      <w:r>
        <w:rPr>
          <w:rFonts w:hint="eastAsia" w:ascii="仿宋" w:hAnsi="仿宋" w:eastAsia="仿宋"/>
          <w:color w:val="000000"/>
          <w:sz w:val="28"/>
          <w:highlight w:val="white"/>
        </w:rPr>
        <w:t>（四）财政拨款收入支出决算总体情况说明</w:t>
      </w:r>
      <w:r>
        <w:rPr>
          <w:rFonts w:hint="default" w:ascii="仿宋" w:hAnsi="仿宋" w:eastAsia="仿宋"/>
          <w:color w:val="000000"/>
          <w:sz w:val="28"/>
          <w:highlight w:val="white"/>
        </w:rPr>
        <w:t>..................</w:t>
      </w:r>
      <w:r>
        <w:rPr>
          <w:rFonts w:hint="eastAsia" w:ascii="仿宋" w:hAnsi="仿宋" w:eastAsia="仿宋"/>
          <w:sz w:val="28"/>
        </w:rPr>
        <w:t>( 3 )</w:t>
      </w:r>
    </w:p>
    <w:p>
      <w:pPr>
        <w:spacing w:beforeLines="0" w:afterLines="0" w:line="560" w:lineRule="exact"/>
        <w:jc w:val="left"/>
        <w:rPr>
          <w:rFonts w:hint="eastAsia" w:ascii="仿宋" w:hAnsi="仿宋" w:eastAsia="仿宋"/>
          <w:sz w:val="28"/>
        </w:rPr>
      </w:pPr>
      <w:r>
        <w:rPr>
          <w:rFonts w:hint="eastAsia" w:ascii="仿宋" w:hAnsi="仿宋" w:eastAsia="仿宋"/>
          <w:color w:val="000000"/>
          <w:sz w:val="28"/>
          <w:highlight w:val="white"/>
        </w:rPr>
        <w:t>（五）一般公共预算财政拨款支出决算情况说明</w:t>
      </w:r>
      <w:r>
        <w:rPr>
          <w:rFonts w:hint="default" w:ascii="仿宋" w:hAnsi="仿宋" w:eastAsia="仿宋"/>
          <w:color w:val="000000"/>
          <w:sz w:val="28"/>
          <w:highlight w:val="white"/>
        </w:rPr>
        <w:t>............</w:t>
      </w:r>
      <w:r>
        <w:rPr>
          <w:rFonts w:hint="eastAsia" w:ascii="仿宋" w:hAnsi="仿宋" w:eastAsia="仿宋"/>
          <w:sz w:val="28"/>
        </w:rPr>
        <w:t>( 3-5 )</w:t>
      </w:r>
    </w:p>
    <w:p>
      <w:pPr>
        <w:spacing w:beforeLines="0" w:afterLines="0" w:line="560" w:lineRule="exact"/>
        <w:jc w:val="left"/>
        <w:rPr>
          <w:rFonts w:hint="eastAsia" w:ascii="仿宋" w:hAnsi="仿宋" w:eastAsia="仿宋"/>
          <w:sz w:val="28"/>
        </w:rPr>
      </w:pPr>
      <w:r>
        <w:rPr>
          <w:rFonts w:hint="eastAsia" w:ascii="仿宋" w:hAnsi="仿宋" w:eastAsia="仿宋"/>
          <w:color w:val="000000"/>
          <w:sz w:val="28"/>
          <w:highlight w:val="white"/>
        </w:rPr>
        <w:t>（六）一般公共预算财政拨款基本支出决算情况说明</w:t>
      </w:r>
      <w:r>
        <w:rPr>
          <w:rFonts w:hint="default" w:ascii="仿宋" w:hAnsi="仿宋" w:eastAsia="仿宋"/>
          <w:color w:val="000000"/>
          <w:sz w:val="28"/>
          <w:highlight w:val="white"/>
        </w:rPr>
        <w:t>.........</w:t>
      </w:r>
      <w:r>
        <w:rPr>
          <w:rFonts w:hint="eastAsia" w:ascii="仿宋" w:hAnsi="仿宋" w:eastAsia="仿宋"/>
          <w:sz w:val="28"/>
        </w:rPr>
        <w:t>(6)</w:t>
      </w:r>
    </w:p>
    <w:p>
      <w:pPr>
        <w:spacing w:beforeLines="0" w:afterLines="0" w:line="560" w:lineRule="exact"/>
        <w:jc w:val="left"/>
        <w:rPr>
          <w:rFonts w:hint="eastAsia" w:ascii="仿宋" w:hAnsi="仿宋" w:eastAsia="仿宋"/>
          <w:sz w:val="28"/>
        </w:rPr>
      </w:pPr>
      <w:r>
        <w:rPr>
          <w:rFonts w:hint="eastAsia" w:ascii="仿宋" w:hAnsi="仿宋" w:eastAsia="仿宋"/>
          <w:color w:val="000000"/>
          <w:sz w:val="28"/>
          <w:highlight w:val="white"/>
        </w:rPr>
        <w:t>（七）政府性基金预算财政拨款支出</w:t>
      </w:r>
      <w:r>
        <w:rPr>
          <w:rFonts w:hint="eastAsia" w:ascii="仿宋" w:hAnsi="仿宋" w:eastAsia="仿宋"/>
          <w:color w:val="000000"/>
          <w:sz w:val="28"/>
          <w:highlight w:val="white"/>
          <w:lang w:val="zh-CN"/>
        </w:rPr>
        <w:t>决算</w:t>
      </w:r>
      <w:r>
        <w:rPr>
          <w:rFonts w:hint="eastAsia" w:ascii="仿宋" w:hAnsi="仿宋" w:eastAsia="仿宋"/>
          <w:color w:val="000000"/>
          <w:sz w:val="28"/>
          <w:highlight w:val="white"/>
        </w:rPr>
        <w:t>总体情况说明</w:t>
      </w:r>
      <w:r>
        <w:rPr>
          <w:rFonts w:hint="default" w:ascii="仿宋" w:hAnsi="仿宋" w:eastAsia="仿宋"/>
          <w:color w:val="000000"/>
          <w:sz w:val="28"/>
          <w:highlight w:val="white"/>
        </w:rPr>
        <w:t>......</w:t>
      </w:r>
      <w:r>
        <w:rPr>
          <w:rFonts w:hint="eastAsia" w:ascii="仿宋" w:hAnsi="仿宋" w:eastAsia="仿宋"/>
          <w:sz w:val="28"/>
        </w:rPr>
        <w:t>( 6</w:t>
      </w:r>
      <w:r>
        <w:rPr>
          <w:rFonts w:hint="default" w:ascii="仿宋" w:hAnsi="仿宋" w:eastAsia="仿宋"/>
          <w:sz w:val="28"/>
        </w:rPr>
        <w:t>-</w:t>
      </w:r>
      <w:r>
        <w:rPr>
          <w:rFonts w:hint="eastAsia" w:ascii="仿宋" w:hAnsi="仿宋" w:eastAsia="仿宋"/>
          <w:sz w:val="28"/>
        </w:rPr>
        <w:t>7 )</w:t>
      </w:r>
    </w:p>
    <w:p>
      <w:pPr>
        <w:spacing w:beforeLines="0" w:afterLines="0" w:line="560" w:lineRule="exact"/>
        <w:jc w:val="left"/>
        <w:rPr>
          <w:rFonts w:hint="default" w:ascii="仿宋" w:hAnsi="仿宋" w:eastAsia="仿宋"/>
          <w:color w:val="000000"/>
          <w:sz w:val="28"/>
          <w:highlight w:val="white"/>
        </w:rPr>
      </w:pPr>
      <w:r>
        <w:rPr>
          <w:rFonts w:hint="eastAsia" w:ascii="仿宋" w:hAnsi="仿宋" w:eastAsia="仿宋"/>
          <w:color w:val="000000"/>
          <w:sz w:val="28"/>
          <w:highlight w:val="white"/>
        </w:rPr>
        <w:t>（八）国有资本经营预算财政拨款支出</w:t>
      </w:r>
      <w:r>
        <w:rPr>
          <w:rFonts w:hint="eastAsia" w:ascii="仿宋" w:hAnsi="仿宋" w:eastAsia="仿宋"/>
          <w:color w:val="000000"/>
          <w:sz w:val="28"/>
          <w:highlight w:val="white"/>
          <w:lang w:val="zh-CN"/>
        </w:rPr>
        <w:t>决算</w:t>
      </w:r>
      <w:r>
        <w:rPr>
          <w:rFonts w:hint="eastAsia" w:ascii="仿宋" w:hAnsi="仿宋" w:eastAsia="仿宋"/>
          <w:color w:val="000000"/>
          <w:sz w:val="28"/>
          <w:highlight w:val="white"/>
        </w:rPr>
        <w:t>总体情况说明</w:t>
      </w:r>
      <w:r>
        <w:rPr>
          <w:rFonts w:hint="default" w:ascii="仿宋" w:hAnsi="仿宋" w:eastAsia="仿宋"/>
          <w:color w:val="000000"/>
          <w:sz w:val="28"/>
          <w:highlight w:val="white"/>
        </w:rPr>
        <w:t>......</w:t>
      </w:r>
      <w:r>
        <w:rPr>
          <w:rFonts w:hint="eastAsia" w:ascii="仿宋" w:hAnsi="仿宋" w:eastAsia="仿宋"/>
          <w:sz w:val="28"/>
        </w:rPr>
        <w:t>( 7 )</w:t>
      </w:r>
    </w:p>
    <w:p>
      <w:pPr>
        <w:spacing w:beforeLines="0" w:afterLines="0" w:line="560" w:lineRule="exact"/>
        <w:jc w:val="left"/>
        <w:rPr>
          <w:rFonts w:hint="default" w:ascii="仿宋" w:hAnsi="仿宋" w:eastAsia="仿宋"/>
          <w:color w:val="000000"/>
          <w:sz w:val="28"/>
          <w:highlight w:val="white"/>
        </w:rPr>
      </w:pPr>
      <w:r>
        <w:rPr>
          <w:rFonts w:hint="eastAsia" w:ascii="仿宋" w:hAnsi="仿宋" w:eastAsia="仿宋"/>
          <w:color w:val="000000"/>
          <w:sz w:val="28"/>
          <w:highlight w:val="white"/>
        </w:rPr>
        <w:t>（九）一般公共预算财政拨款“三公”经费支出决算情况说明</w:t>
      </w:r>
      <w:r>
        <w:rPr>
          <w:rFonts w:hint="default" w:ascii="仿宋" w:hAnsi="仿宋" w:eastAsia="仿宋"/>
          <w:color w:val="000000"/>
          <w:sz w:val="28"/>
          <w:highlight w:val="white"/>
        </w:rPr>
        <w:t>..</w:t>
      </w:r>
      <w:r>
        <w:rPr>
          <w:rFonts w:hint="eastAsia" w:ascii="仿宋" w:hAnsi="仿宋" w:eastAsia="仿宋"/>
          <w:sz w:val="28"/>
        </w:rPr>
        <w:t>( 7-8 )</w:t>
      </w:r>
    </w:p>
    <w:p>
      <w:pPr>
        <w:spacing w:beforeLines="0" w:afterLines="0" w:line="560" w:lineRule="exact"/>
        <w:jc w:val="left"/>
        <w:rPr>
          <w:rFonts w:hint="eastAsia" w:ascii="仿宋" w:hAnsi="仿宋" w:eastAsia="仿宋"/>
          <w:sz w:val="28"/>
        </w:rPr>
      </w:pPr>
      <w:r>
        <w:rPr>
          <w:rFonts w:hint="eastAsia" w:ascii="仿宋" w:hAnsi="仿宋" w:eastAsia="仿宋"/>
          <w:color w:val="000000"/>
          <w:sz w:val="28"/>
          <w:highlight w:val="white"/>
        </w:rPr>
        <w:t>（十）机关运行经费支出说明</w:t>
      </w:r>
      <w:r>
        <w:rPr>
          <w:rFonts w:hint="default" w:ascii="仿宋" w:hAnsi="仿宋" w:eastAsia="仿宋"/>
          <w:color w:val="000000"/>
          <w:sz w:val="28"/>
          <w:highlight w:val="white"/>
        </w:rPr>
        <w:t>............................</w:t>
      </w:r>
      <w:r>
        <w:rPr>
          <w:rFonts w:hint="eastAsia" w:ascii="仿宋" w:hAnsi="仿宋" w:eastAsia="仿宋"/>
          <w:sz w:val="28"/>
        </w:rPr>
        <w:t>( 8</w:t>
      </w:r>
      <w:r>
        <w:rPr>
          <w:rFonts w:hint="default" w:ascii="仿宋" w:hAnsi="仿宋" w:eastAsia="仿宋"/>
          <w:sz w:val="28"/>
        </w:rPr>
        <w:t>-</w:t>
      </w:r>
      <w:r>
        <w:rPr>
          <w:rFonts w:hint="eastAsia" w:ascii="仿宋" w:hAnsi="仿宋" w:eastAsia="仿宋"/>
          <w:sz w:val="28"/>
        </w:rPr>
        <w:t>9 )</w:t>
      </w:r>
    </w:p>
    <w:p>
      <w:pPr>
        <w:spacing w:beforeLines="0" w:afterLines="0" w:line="560" w:lineRule="exact"/>
        <w:jc w:val="left"/>
        <w:rPr>
          <w:rFonts w:hint="default" w:ascii="仿宋" w:hAnsi="仿宋" w:eastAsia="仿宋"/>
          <w:color w:val="000000"/>
          <w:sz w:val="28"/>
          <w:highlight w:val="white"/>
        </w:rPr>
      </w:pPr>
      <w:r>
        <w:rPr>
          <w:rFonts w:hint="eastAsia" w:ascii="仿宋" w:hAnsi="仿宋" w:eastAsia="仿宋"/>
          <w:color w:val="000000"/>
          <w:sz w:val="28"/>
          <w:highlight w:val="white"/>
        </w:rPr>
        <w:t>（十一）政府采购支出说明</w:t>
      </w:r>
      <w:r>
        <w:rPr>
          <w:rFonts w:hint="default" w:ascii="仿宋" w:hAnsi="仿宋" w:eastAsia="仿宋"/>
          <w:color w:val="000000"/>
          <w:sz w:val="28"/>
          <w:highlight w:val="white"/>
        </w:rPr>
        <w:t>................................</w:t>
      </w:r>
      <w:r>
        <w:rPr>
          <w:rFonts w:hint="eastAsia" w:ascii="仿宋" w:hAnsi="仿宋" w:eastAsia="仿宋"/>
          <w:sz w:val="28"/>
        </w:rPr>
        <w:t>( 9)</w:t>
      </w:r>
    </w:p>
    <w:p>
      <w:pPr>
        <w:spacing w:beforeLines="0" w:afterLines="0" w:line="560" w:lineRule="exact"/>
        <w:jc w:val="left"/>
        <w:rPr>
          <w:rFonts w:hint="default" w:ascii="仿宋" w:hAnsi="仿宋" w:eastAsia="仿宋"/>
          <w:color w:val="000000"/>
          <w:sz w:val="28"/>
          <w:highlight w:val="white"/>
        </w:rPr>
      </w:pPr>
      <w:r>
        <w:rPr>
          <w:rFonts w:hint="eastAsia" w:ascii="仿宋" w:hAnsi="仿宋" w:eastAsia="仿宋"/>
          <w:color w:val="000000"/>
          <w:sz w:val="28"/>
          <w:highlight w:val="white"/>
        </w:rPr>
        <w:t>（十二）国有资产占有情况说明</w:t>
      </w:r>
      <w:r>
        <w:rPr>
          <w:rFonts w:hint="default" w:ascii="仿宋" w:hAnsi="仿宋" w:eastAsia="仿宋"/>
          <w:color w:val="000000"/>
          <w:sz w:val="28"/>
          <w:highlight w:val="white"/>
        </w:rPr>
        <w:t>............................</w:t>
      </w:r>
      <w:r>
        <w:rPr>
          <w:rFonts w:hint="eastAsia" w:ascii="仿宋" w:hAnsi="仿宋" w:eastAsia="仿宋"/>
          <w:sz w:val="28"/>
        </w:rPr>
        <w:t>(9 )</w:t>
      </w:r>
    </w:p>
    <w:p>
      <w:pPr>
        <w:spacing w:beforeLines="0" w:afterLines="0" w:line="560" w:lineRule="exact"/>
        <w:jc w:val="left"/>
        <w:rPr>
          <w:rFonts w:hint="eastAsia" w:ascii="仿宋" w:hAnsi="仿宋" w:eastAsia="仿宋"/>
          <w:sz w:val="28"/>
        </w:rPr>
      </w:pPr>
      <w:r>
        <w:rPr>
          <w:rFonts w:hint="eastAsia" w:ascii="仿宋" w:hAnsi="仿宋" w:eastAsia="仿宋"/>
          <w:color w:val="000000"/>
          <w:sz w:val="28"/>
          <w:highlight w:val="white"/>
        </w:rPr>
        <w:t>（十三）预算绩效情况说明</w:t>
      </w:r>
      <w:r>
        <w:rPr>
          <w:rFonts w:hint="default" w:ascii="仿宋" w:hAnsi="仿宋" w:eastAsia="仿宋"/>
          <w:color w:val="000000"/>
          <w:sz w:val="28"/>
          <w:highlight w:val="white"/>
        </w:rPr>
        <w:t>.............................</w:t>
      </w:r>
      <w:r>
        <w:rPr>
          <w:rFonts w:hint="eastAsia" w:ascii="仿宋" w:hAnsi="仿宋" w:eastAsia="仿宋"/>
          <w:sz w:val="28"/>
        </w:rPr>
        <w:t>( 9-14 )</w:t>
      </w:r>
    </w:p>
    <w:p>
      <w:pPr>
        <w:spacing w:beforeLines="0" w:afterLines="0" w:line="560" w:lineRule="exact"/>
        <w:ind w:firstLine="140" w:firstLineChars="50"/>
        <w:jc w:val="left"/>
        <w:rPr>
          <w:rFonts w:hint="eastAsia" w:ascii="仿宋" w:hAnsi="仿宋" w:eastAsia="仿宋"/>
          <w:sz w:val="28"/>
        </w:rPr>
      </w:pPr>
      <w:r>
        <w:rPr>
          <w:rFonts w:hint="eastAsia" w:ascii="仿宋" w:hAnsi="仿宋" w:eastAsia="仿宋"/>
          <w:color w:val="000000"/>
          <w:sz w:val="28"/>
          <w:highlight w:val="white"/>
        </w:rPr>
        <w:t>四、名词解释</w:t>
      </w:r>
      <w:r>
        <w:rPr>
          <w:rFonts w:hint="default" w:ascii="仿宋" w:hAnsi="仿宋" w:eastAsia="仿宋"/>
          <w:color w:val="000000"/>
          <w:sz w:val="28"/>
          <w:highlight w:val="white"/>
        </w:rPr>
        <w:t>.......................................</w:t>
      </w:r>
      <w:r>
        <w:rPr>
          <w:rFonts w:hint="eastAsia" w:ascii="仿宋" w:hAnsi="仿宋" w:eastAsia="仿宋"/>
          <w:sz w:val="28"/>
        </w:rPr>
        <w:t>( 14-17 )</w:t>
      </w:r>
    </w:p>
    <w:p>
      <w:pPr>
        <w:autoSpaceDE w:val="0"/>
        <w:autoSpaceDN w:val="0"/>
        <w:adjustRightInd w:val="0"/>
        <w:spacing w:beforeLines="0" w:afterLines="0" w:line="560" w:lineRule="exact"/>
        <w:ind w:firstLine="840" w:firstLineChars="300"/>
        <w:rPr>
          <w:rFonts w:hint="default" w:ascii="仿宋" w:hAnsi="仿宋" w:eastAsia="仿宋"/>
          <w:b/>
          <w:color w:val="000000"/>
          <w:sz w:val="28"/>
          <w:highlight w:val="white"/>
        </w:rPr>
      </w:pPr>
    </w:p>
    <w:p>
      <w:pPr>
        <w:autoSpaceDE w:val="0"/>
        <w:autoSpaceDN w:val="0"/>
        <w:adjustRightInd w:val="0"/>
        <w:spacing w:beforeLines="0" w:afterLines="0" w:line="560" w:lineRule="exact"/>
        <w:ind w:firstLine="840" w:firstLineChars="300"/>
        <w:rPr>
          <w:rFonts w:hint="default" w:ascii="仿宋" w:hAnsi="仿宋" w:eastAsia="仿宋"/>
          <w:b/>
          <w:color w:val="000000"/>
          <w:sz w:val="28"/>
          <w:highlight w:val="white"/>
        </w:rPr>
      </w:pPr>
      <w:r>
        <w:rPr>
          <w:rFonts w:hint="eastAsia" w:ascii="仿宋" w:hAnsi="仿宋" w:eastAsia="仿宋"/>
          <w:b/>
          <w:color w:val="000000"/>
          <w:sz w:val="28"/>
          <w:highlight w:val="white"/>
        </w:rPr>
        <w:t>一、概况</w:t>
      </w:r>
    </w:p>
    <w:p>
      <w:pPr>
        <w:autoSpaceDE w:val="0"/>
        <w:autoSpaceDN w:val="0"/>
        <w:adjustRightInd w:val="0"/>
        <w:spacing w:beforeLines="0" w:afterLines="0" w:line="560" w:lineRule="exact"/>
        <w:ind w:firstLine="594"/>
        <w:rPr>
          <w:rFonts w:hint="default" w:ascii="仿宋" w:hAnsi="仿宋" w:eastAsia="仿宋"/>
          <w:b/>
          <w:color w:val="000000"/>
          <w:sz w:val="28"/>
          <w:highlight w:val="white"/>
        </w:rPr>
      </w:pPr>
      <w:r>
        <w:rPr>
          <w:rFonts w:hint="eastAsia" w:ascii="仿宋" w:hAnsi="仿宋" w:eastAsia="仿宋"/>
          <w:b/>
          <w:color w:val="000000"/>
          <w:sz w:val="28"/>
          <w:highlight w:val="white"/>
        </w:rPr>
        <w:t>（一）部门（单位）职责</w:t>
      </w:r>
    </w:p>
    <w:p>
      <w:pPr>
        <w:widowControl/>
        <w:shd w:val="clear" w:color="auto" w:fill="FFFFFF"/>
        <w:spacing w:beforeLines="0" w:afterLines="0" w:line="560" w:lineRule="exact"/>
        <w:rPr>
          <w:rFonts w:hint="default" w:ascii="仿宋" w:hAnsi="仿宋" w:eastAsia="仿宋"/>
          <w:color w:val="000000"/>
          <w:kern w:val="0"/>
          <w:sz w:val="28"/>
        </w:rPr>
      </w:pPr>
      <w:r>
        <w:rPr>
          <w:rFonts w:hint="eastAsia" w:ascii="仿宋" w:hAnsi="仿宋" w:eastAsia="仿宋"/>
          <w:color w:val="000000"/>
          <w:kern w:val="0"/>
          <w:sz w:val="28"/>
        </w:rPr>
        <w:t xml:space="preserve">     1、履行全民所有土地、矿产 等自然资源资产所有者职责和所有国土空间用途管制职责；</w:t>
      </w:r>
    </w:p>
    <w:p>
      <w:pPr>
        <w:widowControl/>
        <w:shd w:val="clear" w:color="auto" w:fill="FFFFFF"/>
        <w:spacing w:beforeLines="0" w:afterLines="0" w:line="560" w:lineRule="exact"/>
        <w:ind w:firstLine="560" w:firstLineChars="200"/>
        <w:rPr>
          <w:rFonts w:hint="default" w:ascii="仿宋" w:hAnsi="仿宋" w:eastAsia="仿宋"/>
          <w:color w:val="000000"/>
          <w:kern w:val="0"/>
          <w:sz w:val="28"/>
        </w:rPr>
      </w:pPr>
      <w:r>
        <w:rPr>
          <w:rFonts w:hint="eastAsia" w:ascii="仿宋" w:hAnsi="仿宋" w:eastAsia="仿宋"/>
          <w:color w:val="000000"/>
          <w:kern w:val="0"/>
          <w:sz w:val="28"/>
        </w:rPr>
        <w:t>2、负责自然资源调查监测评价和统一确权登记工作；</w:t>
      </w:r>
    </w:p>
    <w:p>
      <w:pPr>
        <w:widowControl/>
        <w:shd w:val="clear" w:color="auto" w:fill="FFFFFF"/>
        <w:spacing w:beforeLines="0" w:afterLines="0" w:line="560" w:lineRule="exact"/>
        <w:ind w:firstLine="560" w:firstLineChars="200"/>
        <w:rPr>
          <w:rFonts w:hint="default" w:ascii="仿宋" w:hAnsi="仿宋" w:eastAsia="仿宋"/>
          <w:color w:val="000000"/>
          <w:kern w:val="0"/>
          <w:sz w:val="28"/>
        </w:rPr>
      </w:pPr>
      <w:r>
        <w:rPr>
          <w:rFonts w:hint="eastAsia" w:ascii="仿宋" w:hAnsi="仿宋" w:eastAsia="仿宋"/>
          <w:color w:val="000000"/>
          <w:kern w:val="0"/>
          <w:sz w:val="28"/>
        </w:rPr>
        <w:t>3、负责自然资源资产有偿使用和自然资源的合理开发利用工作；</w:t>
      </w:r>
    </w:p>
    <w:p>
      <w:pPr>
        <w:widowControl/>
        <w:shd w:val="clear" w:color="auto" w:fill="FFFFFF"/>
        <w:spacing w:beforeLines="0" w:afterLines="0" w:line="560" w:lineRule="exact"/>
        <w:ind w:firstLine="560" w:firstLineChars="200"/>
        <w:rPr>
          <w:rFonts w:hint="default" w:ascii="仿宋" w:hAnsi="仿宋" w:eastAsia="仿宋"/>
          <w:color w:val="000000"/>
          <w:kern w:val="0"/>
          <w:sz w:val="28"/>
        </w:rPr>
      </w:pPr>
      <w:r>
        <w:rPr>
          <w:rFonts w:hint="eastAsia" w:ascii="仿宋" w:hAnsi="仿宋" w:eastAsia="仿宋"/>
          <w:color w:val="000000"/>
          <w:kern w:val="0"/>
          <w:sz w:val="28"/>
        </w:rPr>
        <w:t>4、负责建立空间规划体系并监督实施；负责城市发展战略和新型城市化研究；</w:t>
      </w:r>
    </w:p>
    <w:p>
      <w:pPr>
        <w:widowControl/>
        <w:shd w:val="clear" w:color="auto" w:fill="FFFFFF"/>
        <w:spacing w:beforeLines="0" w:afterLines="0" w:line="560" w:lineRule="exact"/>
        <w:ind w:firstLine="560" w:firstLineChars="200"/>
        <w:rPr>
          <w:rFonts w:hint="default" w:ascii="仿宋" w:hAnsi="仿宋" w:eastAsia="仿宋"/>
          <w:color w:val="000000"/>
          <w:kern w:val="0"/>
          <w:sz w:val="28"/>
        </w:rPr>
      </w:pPr>
      <w:r>
        <w:rPr>
          <w:rFonts w:hint="eastAsia" w:ascii="仿宋" w:hAnsi="仿宋" w:eastAsia="仿宋"/>
          <w:color w:val="000000"/>
          <w:kern w:val="0"/>
          <w:sz w:val="28"/>
        </w:rPr>
        <w:t>5、负责统筹国土空间生态修复和国土绿化；负责组织实施最严格的耕地保护制度；</w:t>
      </w:r>
    </w:p>
    <w:p>
      <w:pPr>
        <w:widowControl/>
        <w:shd w:val="clear" w:color="auto" w:fill="FFFFFF"/>
        <w:spacing w:beforeLines="0" w:afterLines="0" w:line="560" w:lineRule="exact"/>
        <w:ind w:firstLine="560" w:firstLineChars="200"/>
        <w:rPr>
          <w:rFonts w:hint="default" w:ascii="仿宋" w:hAnsi="仿宋" w:eastAsia="仿宋"/>
          <w:color w:val="000000"/>
          <w:kern w:val="0"/>
          <w:sz w:val="28"/>
        </w:rPr>
      </w:pPr>
      <w:r>
        <w:rPr>
          <w:rFonts w:hint="eastAsia" w:ascii="仿宋" w:hAnsi="仿宋" w:eastAsia="仿宋"/>
          <w:color w:val="000000"/>
          <w:kern w:val="0"/>
          <w:sz w:val="28"/>
        </w:rPr>
        <w:t>6、负责矿产资源、地质勘查行业管理和全市地质工作；负责落实综合防灾减灾规划相关要求；推动自然资源领域科技发展；</w:t>
      </w:r>
    </w:p>
    <w:p>
      <w:pPr>
        <w:widowControl/>
        <w:shd w:val="clear" w:color="auto" w:fill="FFFFFF"/>
        <w:spacing w:beforeLines="0" w:afterLines="0" w:line="560" w:lineRule="exact"/>
        <w:ind w:firstLine="560" w:firstLineChars="200"/>
        <w:rPr>
          <w:rFonts w:hint="default" w:ascii="仿宋" w:hAnsi="仿宋" w:eastAsia="仿宋"/>
          <w:color w:val="000000"/>
          <w:kern w:val="0"/>
          <w:sz w:val="28"/>
        </w:rPr>
      </w:pPr>
      <w:r>
        <w:rPr>
          <w:rFonts w:hint="eastAsia" w:ascii="仿宋" w:hAnsi="仿宋" w:eastAsia="仿宋"/>
          <w:color w:val="000000"/>
          <w:kern w:val="0"/>
          <w:sz w:val="28"/>
        </w:rPr>
        <w:t>7、负责自然资源督察和行政执法工作；完成市委、市政府交办的其他任务；职能转变等职能。</w:t>
      </w:r>
    </w:p>
    <w:p>
      <w:pPr>
        <w:autoSpaceDE w:val="0"/>
        <w:autoSpaceDN w:val="0"/>
        <w:adjustRightInd w:val="0"/>
        <w:spacing w:beforeLines="0" w:afterLines="0" w:line="560" w:lineRule="exact"/>
        <w:ind w:firstLine="594"/>
        <w:rPr>
          <w:rFonts w:hint="default" w:ascii="仿宋" w:hAnsi="仿宋" w:eastAsia="仿宋"/>
          <w:b/>
          <w:color w:val="000000"/>
          <w:sz w:val="28"/>
          <w:highlight w:val="white"/>
        </w:rPr>
      </w:pPr>
      <w:r>
        <w:rPr>
          <w:rFonts w:hint="eastAsia" w:ascii="仿宋" w:hAnsi="仿宋" w:eastAsia="仿宋"/>
          <w:b/>
          <w:color w:val="000000"/>
          <w:sz w:val="28"/>
          <w:highlight w:val="white"/>
        </w:rPr>
        <w:t>（二）机构设置</w:t>
      </w:r>
    </w:p>
    <w:p>
      <w:pPr>
        <w:widowControl/>
        <w:spacing w:beforeLines="0" w:afterLines="0" w:line="560" w:lineRule="exact"/>
        <w:ind w:firstLine="560" w:firstLineChars="200"/>
        <w:jc w:val="left"/>
        <w:rPr>
          <w:rFonts w:hint="default" w:ascii="仿宋" w:hAnsi="仿宋" w:eastAsia="仿宋"/>
          <w:kern w:val="0"/>
          <w:sz w:val="28"/>
        </w:rPr>
      </w:pPr>
      <w:r>
        <w:rPr>
          <w:rFonts w:hint="eastAsia" w:ascii="仿宋" w:hAnsi="仿宋" w:eastAsia="仿宋"/>
          <w:color w:val="000000"/>
          <w:sz w:val="28"/>
          <w:highlight w:val="white"/>
        </w:rPr>
        <w:t>单位从预算单位构成看，本单位内设：</w:t>
      </w:r>
      <w:r>
        <w:rPr>
          <w:rFonts w:hint="eastAsia" w:ascii="仿宋" w:hAnsi="仿宋" w:eastAsia="仿宋"/>
          <w:kern w:val="0"/>
          <w:sz w:val="28"/>
        </w:rPr>
        <w:fldChar w:fldCharType="begin"/>
      </w:r>
      <w:r>
        <w:rPr>
          <w:rFonts w:hint="eastAsia" w:ascii="仿宋" w:hAnsi="仿宋" w:eastAsia="仿宋"/>
          <w:kern w:val="0"/>
          <w:sz w:val="28"/>
        </w:rPr>
        <w:instrText xml:space="preserve"> HYPERLINK "http://www.jindong.gov.cn/art/2020/9/17/art_1229313590_78658.html" \o "办公室" \t "_blank" </w:instrText>
      </w:r>
      <w:r>
        <w:rPr>
          <w:rFonts w:hint="eastAsia" w:ascii="仿宋" w:hAnsi="仿宋" w:eastAsia="仿宋"/>
          <w:kern w:val="0"/>
          <w:sz w:val="28"/>
        </w:rPr>
        <w:fldChar w:fldCharType="separate"/>
      </w:r>
      <w:r>
        <w:rPr>
          <w:rFonts w:hint="eastAsia" w:ascii="仿宋" w:hAnsi="仿宋" w:eastAsia="仿宋"/>
          <w:kern w:val="0"/>
          <w:sz w:val="28"/>
        </w:rPr>
        <w:t>办公室</w:t>
      </w:r>
      <w:r>
        <w:rPr>
          <w:rFonts w:hint="eastAsia" w:ascii="仿宋" w:hAnsi="仿宋" w:eastAsia="仿宋"/>
          <w:kern w:val="0"/>
          <w:sz w:val="28"/>
        </w:rPr>
        <w:fldChar w:fldCharType="end"/>
      </w:r>
      <w:r>
        <w:rPr>
          <w:rFonts w:hint="eastAsia" w:ascii="仿宋" w:hAnsi="仿宋" w:eastAsia="仿宋"/>
          <w:kern w:val="0"/>
          <w:sz w:val="28"/>
        </w:rPr>
        <w:t xml:space="preserve"> 、</w:t>
      </w:r>
      <w:r>
        <w:rPr>
          <w:rFonts w:hint="eastAsia" w:ascii="仿宋" w:hAnsi="仿宋" w:eastAsia="仿宋"/>
          <w:kern w:val="0"/>
          <w:sz w:val="28"/>
        </w:rPr>
        <w:fldChar w:fldCharType="begin"/>
      </w:r>
      <w:r>
        <w:rPr>
          <w:rFonts w:hint="eastAsia" w:ascii="仿宋" w:hAnsi="仿宋" w:eastAsia="仿宋"/>
          <w:kern w:val="0"/>
          <w:sz w:val="28"/>
        </w:rPr>
        <w:instrText xml:space="preserve"> HYPERLINK "http://www.jindong.gov.cn/art/2020/9/17/art_1229313590_78661.html" \o "法规监察科" \t "_blank" </w:instrText>
      </w:r>
      <w:r>
        <w:rPr>
          <w:rFonts w:hint="eastAsia" w:ascii="仿宋" w:hAnsi="仿宋" w:eastAsia="仿宋"/>
          <w:kern w:val="0"/>
          <w:sz w:val="28"/>
        </w:rPr>
        <w:fldChar w:fldCharType="separate"/>
      </w:r>
      <w:r>
        <w:rPr>
          <w:rFonts w:hint="eastAsia" w:ascii="仿宋" w:hAnsi="仿宋" w:eastAsia="仿宋"/>
          <w:kern w:val="0"/>
          <w:sz w:val="28"/>
        </w:rPr>
        <w:t>法规监察科</w:t>
      </w:r>
      <w:r>
        <w:rPr>
          <w:rFonts w:hint="eastAsia" w:ascii="仿宋" w:hAnsi="仿宋" w:eastAsia="仿宋"/>
          <w:kern w:val="0"/>
          <w:sz w:val="28"/>
        </w:rPr>
        <w:fldChar w:fldCharType="end"/>
      </w:r>
      <w:r>
        <w:rPr>
          <w:rFonts w:hint="eastAsia" w:ascii="仿宋" w:hAnsi="仿宋" w:eastAsia="仿宋"/>
          <w:kern w:val="0"/>
          <w:sz w:val="28"/>
        </w:rPr>
        <w:t>、</w:t>
      </w:r>
      <w:r>
        <w:rPr>
          <w:rFonts w:hint="eastAsia" w:ascii="仿宋" w:hAnsi="仿宋" w:eastAsia="仿宋"/>
          <w:kern w:val="0"/>
          <w:sz w:val="28"/>
        </w:rPr>
        <w:fldChar w:fldCharType="begin"/>
      </w:r>
      <w:r>
        <w:rPr>
          <w:rFonts w:hint="eastAsia" w:ascii="仿宋" w:hAnsi="仿宋" w:eastAsia="仿宋"/>
          <w:kern w:val="0"/>
          <w:sz w:val="28"/>
        </w:rPr>
        <w:instrText xml:space="preserve"> HYPERLINK "http://www.jindong.gov.cn/art/2020/9/17/art_1229313590_78663.html" \o "资源调查和确权登记科" \t "_blank" </w:instrText>
      </w:r>
      <w:r>
        <w:rPr>
          <w:rFonts w:hint="eastAsia" w:ascii="仿宋" w:hAnsi="仿宋" w:eastAsia="仿宋"/>
          <w:kern w:val="0"/>
          <w:sz w:val="28"/>
        </w:rPr>
        <w:fldChar w:fldCharType="separate"/>
      </w:r>
      <w:r>
        <w:rPr>
          <w:rFonts w:hint="eastAsia" w:ascii="仿宋" w:hAnsi="仿宋" w:eastAsia="仿宋"/>
          <w:kern w:val="0"/>
          <w:sz w:val="28"/>
        </w:rPr>
        <w:t>资源调查和确权登记科</w:t>
      </w:r>
      <w:r>
        <w:rPr>
          <w:rFonts w:hint="eastAsia" w:ascii="仿宋" w:hAnsi="仿宋" w:eastAsia="仿宋"/>
          <w:kern w:val="0"/>
          <w:sz w:val="28"/>
        </w:rPr>
        <w:fldChar w:fldCharType="end"/>
      </w:r>
      <w:r>
        <w:rPr>
          <w:rFonts w:hint="eastAsia" w:ascii="仿宋" w:hAnsi="仿宋" w:eastAsia="仿宋"/>
          <w:kern w:val="0"/>
          <w:sz w:val="28"/>
        </w:rPr>
        <w:t xml:space="preserve"> 、</w:t>
      </w:r>
      <w:r>
        <w:rPr>
          <w:rFonts w:hint="eastAsia" w:ascii="仿宋" w:hAnsi="仿宋" w:eastAsia="仿宋"/>
          <w:kern w:val="0"/>
          <w:sz w:val="28"/>
        </w:rPr>
        <w:fldChar w:fldCharType="begin"/>
      </w:r>
      <w:r>
        <w:rPr>
          <w:rFonts w:hint="eastAsia" w:ascii="仿宋" w:hAnsi="仿宋" w:eastAsia="仿宋"/>
          <w:kern w:val="0"/>
          <w:sz w:val="28"/>
        </w:rPr>
        <w:instrText xml:space="preserve"> HYPERLINK "http://www.jindong.gov.cn/art/2020/9/17/art_1229313590_78665.html" \o "国土空间规划科" \t "_blank" </w:instrText>
      </w:r>
      <w:r>
        <w:rPr>
          <w:rFonts w:hint="eastAsia" w:ascii="仿宋" w:hAnsi="仿宋" w:eastAsia="仿宋"/>
          <w:kern w:val="0"/>
          <w:sz w:val="28"/>
        </w:rPr>
        <w:fldChar w:fldCharType="separate"/>
      </w:r>
      <w:r>
        <w:rPr>
          <w:rFonts w:hint="eastAsia" w:ascii="仿宋" w:hAnsi="仿宋" w:eastAsia="仿宋"/>
          <w:kern w:val="0"/>
          <w:sz w:val="28"/>
        </w:rPr>
        <w:t>国土空间规划科</w:t>
      </w:r>
      <w:r>
        <w:rPr>
          <w:rFonts w:hint="eastAsia" w:ascii="仿宋" w:hAnsi="仿宋" w:eastAsia="仿宋"/>
          <w:kern w:val="0"/>
          <w:sz w:val="28"/>
        </w:rPr>
        <w:fldChar w:fldCharType="end"/>
      </w:r>
      <w:r>
        <w:rPr>
          <w:rFonts w:hint="eastAsia" w:ascii="仿宋" w:hAnsi="仿宋" w:eastAsia="仿宋"/>
          <w:kern w:val="0"/>
          <w:sz w:val="28"/>
        </w:rPr>
        <w:t xml:space="preserve"> 、</w:t>
      </w:r>
      <w:r>
        <w:rPr>
          <w:rFonts w:hint="eastAsia" w:ascii="仿宋" w:hAnsi="仿宋" w:eastAsia="仿宋"/>
          <w:kern w:val="0"/>
          <w:sz w:val="28"/>
        </w:rPr>
        <w:fldChar w:fldCharType="begin"/>
      </w:r>
      <w:r>
        <w:rPr>
          <w:rFonts w:hint="eastAsia" w:ascii="仿宋" w:hAnsi="仿宋" w:eastAsia="仿宋"/>
          <w:kern w:val="0"/>
          <w:sz w:val="28"/>
        </w:rPr>
        <w:instrText xml:space="preserve"> HYPERLINK "http://www.jindong.gov.cn/art/2020/9/17/art_1229313590_78667.html" \o "国土空间用途管制科" \t "_blank" </w:instrText>
      </w:r>
      <w:r>
        <w:rPr>
          <w:rFonts w:hint="eastAsia" w:ascii="仿宋" w:hAnsi="仿宋" w:eastAsia="仿宋"/>
          <w:kern w:val="0"/>
          <w:sz w:val="28"/>
        </w:rPr>
        <w:fldChar w:fldCharType="separate"/>
      </w:r>
      <w:r>
        <w:rPr>
          <w:rFonts w:hint="eastAsia" w:ascii="仿宋" w:hAnsi="仿宋" w:eastAsia="仿宋"/>
          <w:kern w:val="0"/>
          <w:sz w:val="28"/>
        </w:rPr>
        <w:t>国土空间用途管制科</w:t>
      </w:r>
      <w:r>
        <w:rPr>
          <w:rFonts w:hint="eastAsia" w:ascii="仿宋" w:hAnsi="仿宋" w:eastAsia="仿宋"/>
          <w:kern w:val="0"/>
          <w:sz w:val="28"/>
        </w:rPr>
        <w:fldChar w:fldCharType="end"/>
      </w:r>
      <w:r>
        <w:rPr>
          <w:rFonts w:hint="eastAsia" w:ascii="仿宋" w:hAnsi="仿宋" w:eastAsia="仿宋"/>
          <w:kern w:val="0"/>
          <w:sz w:val="28"/>
        </w:rPr>
        <w:t xml:space="preserve"> 、</w:t>
      </w:r>
      <w:r>
        <w:rPr>
          <w:rFonts w:hint="eastAsia" w:ascii="仿宋" w:hAnsi="仿宋" w:eastAsia="仿宋"/>
          <w:kern w:val="0"/>
          <w:sz w:val="28"/>
        </w:rPr>
        <w:fldChar w:fldCharType="begin"/>
      </w:r>
      <w:r>
        <w:rPr>
          <w:rFonts w:hint="eastAsia" w:ascii="仿宋" w:hAnsi="仿宋" w:eastAsia="仿宋"/>
          <w:kern w:val="0"/>
          <w:sz w:val="28"/>
        </w:rPr>
        <w:instrText xml:space="preserve"> HYPERLINK "http://www.jindong.gov.cn/art/2020/9/17/art_1229313590_78668.html" \o "所有者权益和开发利用科" \t "_blank" </w:instrText>
      </w:r>
      <w:r>
        <w:rPr>
          <w:rFonts w:hint="eastAsia" w:ascii="仿宋" w:hAnsi="仿宋" w:eastAsia="仿宋"/>
          <w:kern w:val="0"/>
          <w:sz w:val="28"/>
        </w:rPr>
        <w:fldChar w:fldCharType="separate"/>
      </w:r>
      <w:r>
        <w:rPr>
          <w:rFonts w:hint="eastAsia" w:ascii="仿宋" w:hAnsi="仿宋" w:eastAsia="仿宋"/>
          <w:kern w:val="0"/>
          <w:sz w:val="28"/>
        </w:rPr>
        <w:t>所有者权益和开发利用科</w:t>
      </w:r>
      <w:r>
        <w:rPr>
          <w:rFonts w:hint="eastAsia" w:ascii="仿宋" w:hAnsi="仿宋" w:eastAsia="仿宋"/>
          <w:kern w:val="0"/>
          <w:sz w:val="28"/>
        </w:rPr>
        <w:fldChar w:fldCharType="end"/>
      </w:r>
      <w:r>
        <w:rPr>
          <w:rFonts w:hint="eastAsia" w:ascii="仿宋" w:hAnsi="仿宋" w:eastAsia="仿宋"/>
          <w:kern w:val="0"/>
          <w:sz w:val="28"/>
        </w:rPr>
        <w:t xml:space="preserve"> 、</w:t>
      </w:r>
      <w:r>
        <w:rPr>
          <w:rFonts w:hint="eastAsia" w:ascii="仿宋" w:hAnsi="仿宋" w:eastAsia="仿宋"/>
          <w:kern w:val="0"/>
          <w:sz w:val="28"/>
        </w:rPr>
        <w:fldChar w:fldCharType="begin"/>
      </w:r>
      <w:r>
        <w:rPr>
          <w:rFonts w:hint="eastAsia" w:ascii="仿宋" w:hAnsi="仿宋" w:eastAsia="仿宋"/>
          <w:kern w:val="0"/>
          <w:sz w:val="28"/>
        </w:rPr>
        <w:instrText xml:space="preserve"> HYPERLINK "http://www.jindong.gov.cn/art/2020/9/17/art_1229313590_78672.html" \o "生态修复和耕地保护科" \t "_blank" </w:instrText>
      </w:r>
      <w:r>
        <w:rPr>
          <w:rFonts w:hint="eastAsia" w:ascii="仿宋" w:hAnsi="仿宋" w:eastAsia="仿宋"/>
          <w:kern w:val="0"/>
          <w:sz w:val="28"/>
        </w:rPr>
        <w:fldChar w:fldCharType="separate"/>
      </w:r>
      <w:r>
        <w:rPr>
          <w:rFonts w:hint="eastAsia" w:ascii="仿宋" w:hAnsi="仿宋" w:eastAsia="仿宋"/>
          <w:kern w:val="0"/>
          <w:sz w:val="28"/>
        </w:rPr>
        <w:t>生态修复和耕地保护科</w:t>
      </w:r>
      <w:r>
        <w:rPr>
          <w:rFonts w:hint="eastAsia" w:ascii="仿宋" w:hAnsi="仿宋" w:eastAsia="仿宋"/>
          <w:kern w:val="0"/>
          <w:sz w:val="28"/>
        </w:rPr>
        <w:fldChar w:fldCharType="end"/>
      </w:r>
      <w:r>
        <w:rPr>
          <w:rFonts w:hint="eastAsia" w:ascii="仿宋" w:hAnsi="仿宋" w:eastAsia="仿宋"/>
          <w:kern w:val="0"/>
          <w:sz w:val="28"/>
        </w:rPr>
        <w:t>、</w:t>
      </w:r>
      <w:r>
        <w:rPr>
          <w:rFonts w:hint="eastAsia" w:ascii="仿宋" w:hAnsi="仿宋" w:eastAsia="仿宋"/>
          <w:kern w:val="0"/>
          <w:sz w:val="28"/>
        </w:rPr>
        <w:fldChar w:fldCharType="begin"/>
      </w:r>
      <w:r>
        <w:rPr>
          <w:rFonts w:hint="eastAsia" w:ascii="仿宋" w:hAnsi="仿宋" w:eastAsia="仿宋"/>
          <w:kern w:val="0"/>
          <w:sz w:val="28"/>
        </w:rPr>
        <w:instrText xml:space="preserve"> HYPERLINK "http://www.jindong.gov.cn/art/2020/9/17/art_1229313590_78674.html" \o "地质矿产管理科" \t "_blank" </w:instrText>
      </w:r>
      <w:r>
        <w:rPr>
          <w:rFonts w:hint="eastAsia" w:ascii="仿宋" w:hAnsi="仿宋" w:eastAsia="仿宋"/>
          <w:kern w:val="0"/>
          <w:sz w:val="28"/>
        </w:rPr>
        <w:fldChar w:fldCharType="separate"/>
      </w:r>
      <w:r>
        <w:rPr>
          <w:rFonts w:hint="eastAsia" w:ascii="仿宋" w:hAnsi="仿宋" w:eastAsia="仿宋"/>
          <w:kern w:val="0"/>
          <w:sz w:val="28"/>
        </w:rPr>
        <w:t>地质矿产管理科</w:t>
      </w:r>
      <w:r>
        <w:rPr>
          <w:rFonts w:hint="eastAsia" w:ascii="仿宋" w:hAnsi="仿宋" w:eastAsia="仿宋"/>
          <w:kern w:val="0"/>
          <w:sz w:val="28"/>
        </w:rPr>
        <w:fldChar w:fldCharType="end"/>
      </w:r>
      <w:r>
        <w:rPr>
          <w:rFonts w:hint="eastAsia" w:ascii="仿宋" w:hAnsi="仿宋" w:eastAsia="仿宋"/>
          <w:kern w:val="0"/>
          <w:sz w:val="28"/>
        </w:rPr>
        <w:t>、</w:t>
      </w:r>
      <w:r>
        <w:rPr>
          <w:rFonts w:hint="eastAsia" w:ascii="仿宋" w:hAnsi="仿宋" w:eastAsia="仿宋"/>
          <w:kern w:val="0"/>
          <w:sz w:val="28"/>
        </w:rPr>
        <w:fldChar w:fldCharType="begin"/>
      </w:r>
      <w:r>
        <w:rPr>
          <w:rFonts w:hint="eastAsia" w:ascii="仿宋" w:hAnsi="仿宋" w:eastAsia="仿宋"/>
          <w:kern w:val="0"/>
          <w:sz w:val="28"/>
        </w:rPr>
        <w:instrText xml:space="preserve"> HYPERLINK "http://www.jindong.gov.cn/art/2020/9/17/art_1229313590_78677.html" \o "综合审批科" \t "_blank" </w:instrText>
      </w:r>
      <w:r>
        <w:rPr>
          <w:rFonts w:hint="eastAsia" w:ascii="仿宋" w:hAnsi="仿宋" w:eastAsia="仿宋"/>
          <w:kern w:val="0"/>
          <w:sz w:val="28"/>
        </w:rPr>
        <w:fldChar w:fldCharType="separate"/>
      </w:r>
      <w:r>
        <w:rPr>
          <w:rFonts w:hint="eastAsia" w:ascii="仿宋" w:hAnsi="仿宋" w:eastAsia="仿宋"/>
          <w:kern w:val="0"/>
          <w:sz w:val="28"/>
        </w:rPr>
        <w:t>综合审批科</w:t>
      </w:r>
      <w:r>
        <w:rPr>
          <w:rFonts w:hint="eastAsia" w:ascii="仿宋" w:hAnsi="仿宋" w:eastAsia="仿宋"/>
          <w:kern w:val="0"/>
          <w:sz w:val="28"/>
        </w:rPr>
        <w:fldChar w:fldCharType="end"/>
      </w:r>
      <w:r>
        <w:rPr>
          <w:rFonts w:hint="eastAsia" w:ascii="仿宋" w:hAnsi="仿宋" w:eastAsia="仿宋"/>
          <w:kern w:val="0"/>
          <w:sz w:val="28"/>
        </w:rPr>
        <w:t xml:space="preserve"> 、</w:t>
      </w:r>
      <w:r>
        <w:rPr>
          <w:rFonts w:hint="eastAsia" w:ascii="仿宋" w:hAnsi="仿宋" w:eastAsia="仿宋"/>
          <w:kern w:val="0"/>
          <w:sz w:val="28"/>
        </w:rPr>
        <w:fldChar w:fldCharType="begin"/>
      </w:r>
      <w:r>
        <w:rPr>
          <w:rFonts w:hint="eastAsia" w:ascii="仿宋" w:hAnsi="仿宋" w:eastAsia="仿宋"/>
          <w:kern w:val="0"/>
          <w:sz w:val="28"/>
        </w:rPr>
        <w:instrText xml:space="preserve"> HYPERLINK "http://www.jindong.gov.cn/art/2020/9/17/art_1229313590_78678.html" \o "机关党委" \t "_blank" </w:instrText>
      </w:r>
      <w:r>
        <w:rPr>
          <w:rFonts w:hint="eastAsia" w:ascii="仿宋" w:hAnsi="仿宋" w:eastAsia="仿宋"/>
          <w:kern w:val="0"/>
          <w:sz w:val="28"/>
        </w:rPr>
        <w:fldChar w:fldCharType="separate"/>
      </w:r>
      <w:r>
        <w:rPr>
          <w:rFonts w:hint="eastAsia" w:ascii="仿宋" w:hAnsi="仿宋" w:eastAsia="仿宋"/>
          <w:kern w:val="0"/>
          <w:sz w:val="28"/>
        </w:rPr>
        <w:t>机关党委</w:t>
      </w:r>
      <w:r>
        <w:rPr>
          <w:rFonts w:hint="eastAsia" w:ascii="仿宋" w:hAnsi="仿宋" w:eastAsia="仿宋"/>
          <w:kern w:val="0"/>
          <w:sz w:val="28"/>
        </w:rPr>
        <w:fldChar w:fldCharType="end"/>
      </w:r>
      <w:r>
        <w:rPr>
          <w:rFonts w:hint="eastAsia" w:ascii="仿宋" w:hAnsi="仿宋" w:eastAsia="仿宋"/>
          <w:kern w:val="0"/>
          <w:sz w:val="28"/>
        </w:rPr>
        <w:t>。</w:t>
      </w:r>
    </w:p>
    <w:p>
      <w:pPr>
        <w:autoSpaceDE w:val="0"/>
        <w:autoSpaceDN w:val="0"/>
        <w:adjustRightInd w:val="0"/>
        <w:spacing w:beforeLines="0" w:afterLines="0" w:line="560" w:lineRule="exact"/>
        <w:ind w:firstLine="594"/>
        <w:rPr>
          <w:rFonts w:hint="default" w:ascii="仿宋" w:hAnsi="仿宋" w:eastAsia="仿宋"/>
          <w:b/>
          <w:color w:val="000000"/>
          <w:sz w:val="28"/>
          <w:highlight w:val="white"/>
        </w:rPr>
      </w:pPr>
      <w:r>
        <w:rPr>
          <w:rFonts w:hint="eastAsia" w:ascii="仿宋" w:hAnsi="仿宋" w:eastAsia="仿宋"/>
          <w:b/>
          <w:color w:val="000000"/>
          <w:sz w:val="28"/>
          <w:highlight w:val="white"/>
        </w:rPr>
        <w:t>二、2020年度部门（单位）决算公开表</w:t>
      </w:r>
    </w:p>
    <w:p>
      <w:pPr>
        <w:autoSpaceDE w:val="0"/>
        <w:autoSpaceDN w:val="0"/>
        <w:adjustRightInd w:val="0"/>
        <w:spacing w:beforeLines="0" w:afterLines="0" w:line="560" w:lineRule="exact"/>
        <w:ind w:firstLine="594"/>
        <w:rPr>
          <w:rFonts w:hint="default" w:ascii="仿宋" w:hAnsi="仿宋" w:eastAsia="仿宋"/>
          <w:color w:val="000000"/>
          <w:sz w:val="28"/>
          <w:highlight w:val="white"/>
        </w:rPr>
      </w:pPr>
      <w:r>
        <w:rPr>
          <w:rFonts w:hint="eastAsia" w:ascii="仿宋" w:hAnsi="仿宋" w:eastAsia="仿宋"/>
          <w:color w:val="000000"/>
          <w:sz w:val="28"/>
          <w:highlight w:val="white"/>
        </w:rPr>
        <w:t>详见附表。</w:t>
      </w:r>
    </w:p>
    <w:p>
      <w:pPr>
        <w:autoSpaceDE w:val="0"/>
        <w:autoSpaceDN w:val="0"/>
        <w:adjustRightInd w:val="0"/>
        <w:spacing w:beforeLines="0" w:afterLines="0" w:line="560" w:lineRule="exact"/>
        <w:ind w:firstLine="594"/>
        <w:rPr>
          <w:rFonts w:hint="default" w:ascii="仿宋" w:hAnsi="仿宋" w:eastAsia="仿宋"/>
          <w:b/>
          <w:color w:val="000000"/>
          <w:sz w:val="28"/>
          <w:highlight w:val="white"/>
        </w:rPr>
      </w:pPr>
      <w:r>
        <w:rPr>
          <w:rFonts w:hint="eastAsia" w:ascii="仿宋" w:hAnsi="仿宋" w:eastAsia="仿宋"/>
          <w:b/>
          <w:sz w:val="28"/>
          <w:highlight w:val="white"/>
          <w:lang w:val="zh-CN"/>
        </w:rPr>
        <w:t>三、</w:t>
      </w:r>
      <w:r>
        <w:rPr>
          <w:rFonts w:hint="eastAsia" w:ascii="仿宋" w:hAnsi="仿宋" w:eastAsia="仿宋"/>
          <w:b/>
          <w:color w:val="000000"/>
          <w:sz w:val="28"/>
          <w:highlight w:val="white"/>
        </w:rPr>
        <w:t>2020年度部门（单位）决算情况说明</w:t>
      </w:r>
    </w:p>
    <w:p>
      <w:pPr>
        <w:autoSpaceDE w:val="0"/>
        <w:autoSpaceDN w:val="0"/>
        <w:adjustRightInd w:val="0"/>
        <w:spacing w:beforeLines="0" w:afterLines="0" w:line="560" w:lineRule="exact"/>
        <w:ind w:firstLine="594"/>
        <w:rPr>
          <w:rFonts w:hint="default" w:ascii="仿宋" w:hAnsi="仿宋" w:eastAsia="仿宋"/>
          <w:b/>
          <w:color w:val="000000"/>
          <w:sz w:val="28"/>
          <w:highlight w:val="white"/>
        </w:rPr>
      </w:pPr>
      <w:r>
        <w:rPr>
          <w:rFonts w:hint="eastAsia" w:ascii="仿宋" w:hAnsi="仿宋" w:eastAsia="仿宋"/>
          <w:b/>
          <w:color w:val="000000"/>
          <w:sz w:val="28"/>
          <w:highlight w:val="white"/>
        </w:rPr>
        <w:t>（一）收入支出决算总体情况说明</w:t>
      </w:r>
    </w:p>
    <w:p>
      <w:pPr>
        <w:autoSpaceDE w:val="0"/>
        <w:autoSpaceDN w:val="0"/>
        <w:adjustRightInd w:val="0"/>
        <w:spacing w:beforeLines="0" w:afterLines="0" w:line="560" w:lineRule="exact"/>
        <w:ind w:firstLine="594"/>
        <w:rPr>
          <w:rFonts w:hint="default" w:ascii="仿宋" w:hAnsi="仿宋" w:eastAsia="仿宋"/>
          <w:b/>
          <w:color w:val="000000"/>
          <w:sz w:val="28"/>
          <w:highlight w:val="white"/>
        </w:rPr>
      </w:pPr>
      <w:r>
        <w:rPr>
          <w:rFonts w:hint="eastAsia" w:ascii="仿宋" w:hAnsi="仿宋" w:eastAsia="仿宋"/>
          <w:color w:val="000000"/>
          <w:sz w:val="28"/>
          <w:highlight w:val="white"/>
        </w:rPr>
        <w:t>2020年度收入总计1,526.03万元，支出总计1,526.03万元</w:t>
      </w:r>
      <w:r>
        <w:rPr>
          <w:rFonts w:hint="default" w:ascii="仿宋" w:hAnsi="仿宋" w:eastAsia="仿宋"/>
          <w:color w:val="000000"/>
          <w:sz w:val="28"/>
          <w:highlight w:val="white"/>
        </w:rPr>
        <w:t>,</w:t>
      </w:r>
      <w:r>
        <w:rPr>
          <w:rFonts w:hint="eastAsia" w:ascii="仿宋" w:hAnsi="仿宋" w:eastAsia="仿宋"/>
          <w:color w:val="000000"/>
          <w:sz w:val="28"/>
          <w:highlight w:val="white"/>
        </w:rPr>
        <w:t>与2019年度相比，各减少172.53万元，下降10.16%。主要原因是：本年度项目经费减少。</w:t>
      </w:r>
    </w:p>
    <w:p>
      <w:pPr>
        <w:autoSpaceDE w:val="0"/>
        <w:autoSpaceDN w:val="0"/>
        <w:adjustRightInd w:val="0"/>
        <w:spacing w:beforeLines="0" w:afterLines="0" w:line="560" w:lineRule="exact"/>
        <w:ind w:firstLine="594"/>
        <w:rPr>
          <w:rFonts w:hint="default" w:ascii="仿宋" w:hAnsi="仿宋" w:eastAsia="仿宋"/>
          <w:b/>
          <w:color w:val="000000"/>
          <w:sz w:val="28"/>
          <w:highlight w:val="white"/>
        </w:rPr>
      </w:pPr>
      <w:r>
        <w:rPr>
          <w:rFonts w:hint="eastAsia" w:ascii="仿宋" w:hAnsi="仿宋" w:eastAsia="仿宋"/>
          <w:b/>
          <w:color w:val="000000"/>
          <w:sz w:val="28"/>
          <w:highlight w:val="white"/>
        </w:rPr>
        <w:t>（二）收入决算情况说明</w:t>
      </w:r>
    </w:p>
    <w:p>
      <w:pPr>
        <w:autoSpaceDE w:val="0"/>
        <w:autoSpaceDN w:val="0"/>
        <w:adjustRightInd w:val="0"/>
        <w:spacing w:beforeLines="0" w:afterLines="0" w:line="560" w:lineRule="exact"/>
        <w:ind w:firstLine="594"/>
        <w:rPr>
          <w:rFonts w:hint="default" w:ascii="仿宋" w:hAnsi="仿宋" w:eastAsia="仿宋"/>
          <w:color w:val="000000"/>
          <w:sz w:val="28"/>
          <w:highlight w:val="white"/>
        </w:rPr>
      </w:pPr>
      <w:r>
        <w:rPr>
          <w:rFonts w:hint="eastAsia" w:ascii="仿宋" w:hAnsi="仿宋" w:eastAsia="仿宋"/>
          <w:color w:val="000000"/>
          <w:sz w:val="28"/>
          <w:highlight w:val="white"/>
        </w:rPr>
        <w:t>本年收入合计1,526.03万元；包括财政拨款收入1,526.03万元（其中，一般公共预算1,398.81万元，政府性基金预算127.22万元</w:t>
      </w:r>
      <w:r>
        <w:rPr>
          <w:rFonts w:hint="default" w:ascii="仿宋" w:hAnsi="仿宋" w:eastAsia="仿宋"/>
          <w:color w:val="000000"/>
          <w:sz w:val="28"/>
          <w:highlight w:val="white"/>
        </w:rPr>
        <w:t>,</w:t>
      </w:r>
      <w:r>
        <w:rPr>
          <w:rFonts w:hint="eastAsia" w:ascii="仿宋" w:hAnsi="仿宋" w:eastAsia="仿宋"/>
          <w:color w:val="000000"/>
          <w:sz w:val="28"/>
          <w:highlight w:val="white"/>
        </w:rPr>
        <w:t>国有资本经营预算</w:t>
      </w:r>
      <w:r>
        <w:rPr>
          <w:rFonts w:hint="default" w:ascii="仿宋" w:hAnsi="仿宋" w:eastAsia="仿宋"/>
          <w:color w:val="000000"/>
          <w:sz w:val="28"/>
          <w:highlight w:val="white"/>
        </w:rPr>
        <w:t>0</w:t>
      </w:r>
      <w:r>
        <w:rPr>
          <w:rFonts w:hint="eastAsia" w:ascii="仿宋" w:hAnsi="仿宋" w:eastAsia="仿宋"/>
          <w:color w:val="000000"/>
          <w:sz w:val="28"/>
          <w:highlight w:val="white"/>
        </w:rPr>
        <w:t>万元），占收入合计100%；上级补助收入</w:t>
      </w:r>
      <w:r>
        <w:rPr>
          <w:rFonts w:hint="default" w:ascii="仿宋" w:hAnsi="仿宋" w:eastAsia="仿宋"/>
          <w:color w:val="000000"/>
          <w:sz w:val="28"/>
          <w:highlight w:val="white"/>
        </w:rPr>
        <w:t>0</w:t>
      </w:r>
      <w:r>
        <w:rPr>
          <w:rFonts w:hint="eastAsia" w:ascii="仿宋" w:hAnsi="仿宋" w:eastAsia="仿宋"/>
          <w:color w:val="000000"/>
          <w:sz w:val="28"/>
          <w:highlight w:val="white"/>
        </w:rPr>
        <w:t>万元，占收入合计0%；事业收入</w:t>
      </w:r>
      <w:r>
        <w:rPr>
          <w:rFonts w:hint="default" w:ascii="仿宋" w:hAnsi="仿宋" w:eastAsia="仿宋"/>
          <w:color w:val="000000"/>
          <w:sz w:val="28"/>
          <w:highlight w:val="white"/>
        </w:rPr>
        <w:t>0</w:t>
      </w:r>
      <w:r>
        <w:rPr>
          <w:rFonts w:hint="eastAsia" w:ascii="仿宋" w:hAnsi="仿宋" w:eastAsia="仿宋"/>
          <w:color w:val="000000"/>
          <w:sz w:val="28"/>
          <w:highlight w:val="white"/>
        </w:rPr>
        <w:t>万元，占收入合计0%；经营收入</w:t>
      </w:r>
      <w:r>
        <w:rPr>
          <w:rFonts w:hint="default" w:ascii="仿宋" w:hAnsi="仿宋" w:eastAsia="仿宋"/>
          <w:color w:val="000000"/>
          <w:sz w:val="28"/>
          <w:highlight w:val="white"/>
        </w:rPr>
        <w:t>0</w:t>
      </w:r>
      <w:r>
        <w:rPr>
          <w:rFonts w:hint="eastAsia" w:ascii="仿宋" w:hAnsi="仿宋" w:eastAsia="仿宋"/>
          <w:color w:val="000000"/>
          <w:sz w:val="28"/>
          <w:highlight w:val="white"/>
        </w:rPr>
        <w:t>万元，占收入合计0%；附属单位上缴收入</w:t>
      </w:r>
      <w:r>
        <w:rPr>
          <w:rFonts w:hint="default" w:ascii="仿宋" w:hAnsi="仿宋" w:eastAsia="仿宋"/>
          <w:color w:val="000000"/>
          <w:sz w:val="28"/>
          <w:highlight w:val="white"/>
        </w:rPr>
        <w:t>0</w:t>
      </w:r>
      <w:r>
        <w:rPr>
          <w:rFonts w:hint="eastAsia" w:ascii="仿宋" w:hAnsi="仿宋" w:eastAsia="仿宋"/>
          <w:color w:val="000000"/>
          <w:sz w:val="28"/>
          <w:highlight w:val="white"/>
        </w:rPr>
        <w:t>万元，占收入合计0%；其他收入</w:t>
      </w:r>
      <w:r>
        <w:rPr>
          <w:rFonts w:hint="default" w:ascii="仿宋" w:hAnsi="仿宋" w:eastAsia="仿宋"/>
          <w:color w:val="000000"/>
          <w:sz w:val="28"/>
          <w:highlight w:val="white"/>
        </w:rPr>
        <w:t>0</w:t>
      </w:r>
      <w:r>
        <w:rPr>
          <w:rFonts w:hint="eastAsia" w:ascii="仿宋" w:hAnsi="仿宋" w:eastAsia="仿宋"/>
          <w:color w:val="000000"/>
          <w:sz w:val="28"/>
          <w:highlight w:val="white"/>
        </w:rPr>
        <w:t>万元，占收入合计0%。</w:t>
      </w:r>
    </w:p>
    <w:p>
      <w:pPr>
        <w:autoSpaceDE w:val="0"/>
        <w:autoSpaceDN w:val="0"/>
        <w:adjustRightInd w:val="0"/>
        <w:spacing w:beforeLines="0" w:afterLines="0" w:line="560" w:lineRule="exact"/>
        <w:ind w:firstLine="594"/>
        <w:rPr>
          <w:rFonts w:hint="default" w:ascii="仿宋" w:hAnsi="仿宋" w:eastAsia="仿宋"/>
          <w:b/>
          <w:color w:val="000000"/>
          <w:sz w:val="28"/>
          <w:highlight w:val="white"/>
        </w:rPr>
      </w:pPr>
      <w:r>
        <w:rPr>
          <w:rFonts w:hint="eastAsia" w:ascii="仿宋" w:hAnsi="仿宋" w:eastAsia="仿宋"/>
          <w:b/>
          <w:color w:val="000000"/>
          <w:sz w:val="28"/>
          <w:highlight w:val="white"/>
        </w:rPr>
        <w:t>（三）支出决算情况说明</w:t>
      </w:r>
    </w:p>
    <w:p>
      <w:pPr>
        <w:autoSpaceDE w:val="0"/>
        <w:autoSpaceDN w:val="0"/>
        <w:adjustRightInd w:val="0"/>
        <w:spacing w:beforeLines="0" w:afterLines="0" w:line="560" w:lineRule="exact"/>
        <w:ind w:firstLine="594"/>
        <w:rPr>
          <w:rFonts w:hint="default" w:ascii="仿宋" w:hAnsi="仿宋" w:eastAsia="仿宋"/>
          <w:color w:val="000000"/>
          <w:sz w:val="28"/>
          <w:highlight w:val="white"/>
        </w:rPr>
      </w:pPr>
      <w:r>
        <w:rPr>
          <w:rFonts w:hint="eastAsia" w:ascii="仿宋" w:hAnsi="仿宋" w:eastAsia="仿宋"/>
          <w:color w:val="000000"/>
          <w:sz w:val="28"/>
          <w:highlight w:val="white"/>
        </w:rPr>
        <w:t>本年支出合计1,526.03万元，其中基本支出1,398.81万元，占91.66%；项目支出127.22万元，占8.34%；上缴上级支出</w:t>
      </w:r>
      <w:r>
        <w:rPr>
          <w:rFonts w:hint="default" w:ascii="仿宋" w:hAnsi="仿宋" w:eastAsia="仿宋"/>
          <w:sz w:val="28"/>
          <w:highlight w:val="white"/>
          <w:lang w:val="zh-CN"/>
        </w:rPr>
        <w:t>0</w:t>
      </w:r>
      <w:r>
        <w:rPr>
          <w:rFonts w:hint="eastAsia" w:ascii="仿宋" w:hAnsi="仿宋" w:eastAsia="仿宋"/>
          <w:color w:val="000000"/>
          <w:sz w:val="28"/>
          <w:highlight w:val="white"/>
        </w:rPr>
        <w:t>万元，占0%；经营支出</w:t>
      </w:r>
      <w:r>
        <w:rPr>
          <w:rFonts w:hint="default" w:ascii="仿宋" w:hAnsi="仿宋" w:eastAsia="仿宋"/>
          <w:color w:val="000000"/>
          <w:sz w:val="28"/>
          <w:highlight w:val="white"/>
        </w:rPr>
        <w:t>0</w:t>
      </w:r>
      <w:r>
        <w:rPr>
          <w:rFonts w:hint="eastAsia" w:ascii="仿宋" w:hAnsi="仿宋" w:eastAsia="仿宋"/>
          <w:color w:val="000000"/>
          <w:sz w:val="28"/>
          <w:highlight w:val="white"/>
        </w:rPr>
        <w:t>万元，占0%；对附属单位补助支出</w:t>
      </w:r>
      <w:r>
        <w:rPr>
          <w:rFonts w:hint="default" w:ascii="仿宋" w:hAnsi="仿宋" w:eastAsia="仿宋"/>
          <w:sz w:val="28"/>
          <w:highlight w:val="white"/>
          <w:lang w:val="zh-CN"/>
        </w:rPr>
        <w:t>0</w:t>
      </w:r>
      <w:r>
        <w:rPr>
          <w:rFonts w:hint="eastAsia" w:ascii="仿宋" w:hAnsi="仿宋" w:eastAsia="仿宋"/>
          <w:color w:val="000000"/>
          <w:sz w:val="28"/>
          <w:highlight w:val="white"/>
        </w:rPr>
        <w:t>万元，占0%。</w:t>
      </w:r>
    </w:p>
    <w:p>
      <w:pPr>
        <w:autoSpaceDE w:val="0"/>
        <w:autoSpaceDN w:val="0"/>
        <w:adjustRightInd w:val="0"/>
        <w:spacing w:beforeLines="0" w:afterLines="0" w:line="560" w:lineRule="exact"/>
        <w:ind w:firstLine="594"/>
        <w:rPr>
          <w:rFonts w:hint="default" w:ascii="仿宋" w:hAnsi="仿宋" w:eastAsia="仿宋"/>
          <w:b/>
          <w:color w:val="000000"/>
          <w:sz w:val="28"/>
          <w:highlight w:val="white"/>
        </w:rPr>
      </w:pPr>
      <w:r>
        <w:rPr>
          <w:rFonts w:hint="eastAsia" w:ascii="仿宋" w:hAnsi="仿宋" w:eastAsia="仿宋"/>
          <w:b/>
          <w:color w:val="000000"/>
          <w:sz w:val="28"/>
          <w:highlight w:val="white"/>
        </w:rPr>
        <w:t>（四）财政拨款收入支出决算总体情况说明</w:t>
      </w:r>
    </w:p>
    <w:p>
      <w:pPr>
        <w:autoSpaceDE w:val="0"/>
        <w:autoSpaceDN w:val="0"/>
        <w:adjustRightInd w:val="0"/>
        <w:spacing w:beforeLines="0" w:afterLines="0" w:line="560" w:lineRule="exact"/>
        <w:ind w:firstLine="606"/>
        <w:rPr>
          <w:rFonts w:hint="default" w:ascii="仿宋" w:hAnsi="仿宋" w:eastAsia="仿宋"/>
          <w:color w:val="000000"/>
          <w:sz w:val="28"/>
          <w:highlight w:val="white"/>
        </w:rPr>
      </w:pPr>
      <w:r>
        <w:rPr>
          <w:rFonts w:hint="eastAsia" w:ascii="仿宋" w:hAnsi="仿宋" w:eastAsia="仿宋"/>
          <w:color w:val="000000"/>
          <w:sz w:val="28"/>
          <w:highlight w:val="white"/>
        </w:rPr>
        <w:t>2020年度财政拨款收入总计1,526.03万元，支出总计1,526.03万元，与2019年相比，各减少172.53万元，下降10.16%。主要原因是：本年度项目经费减少</w:t>
      </w:r>
      <w:r>
        <w:rPr>
          <w:rFonts w:hint="eastAsia" w:ascii="仿宋" w:hAnsi="仿宋" w:eastAsia="仿宋"/>
          <w:sz w:val="28"/>
          <w:highlight w:val="white"/>
        </w:rPr>
        <w:t>；</w:t>
      </w:r>
      <w:r>
        <w:rPr>
          <w:rFonts w:hint="eastAsia" w:ascii="仿宋" w:hAnsi="仿宋" w:eastAsia="仿宋"/>
          <w:color w:val="000000"/>
          <w:sz w:val="28"/>
          <w:highlight w:val="white"/>
        </w:rPr>
        <w:t>财政拨款支出年初预算数1372.36万元，完成年初预算的111.2%，主要原因是：转业士官人员经费增加，</w:t>
      </w:r>
      <w:r>
        <w:rPr>
          <w:rFonts w:hint="eastAsia" w:ascii="仿宋" w:hAnsi="仿宋" w:eastAsia="仿宋"/>
          <w:color w:val="000000"/>
          <w:sz w:val="28"/>
        </w:rPr>
        <w:t>2019年度考核奖增加及工资增加</w:t>
      </w:r>
      <w:r>
        <w:rPr>
          <w:rFonts w:hint="eastAsia" w:ascii="仿宋" w:hAnsi="仿宋" w:eastAsia="仿宋"/>
          <w:color w:val="000000"/>
          <w:sz w:val="28"/>
          <w:highlight w:val="white"/>
        </w:rPr>
        <w:t>。</w:t>
      </w:r>
    </w:p>
    <w:p>
      <w:pPr>
        <w:autoSpaceDE w:val="0"/>
        <w:autoSpaceDN w:val="0"/>
        <w:adjustRightInd w:val="0"/>
        <w:spacing w:beforeLines="0" w:afterLines="0" w:line="560" w:lineRule="exact"/>
        <w:ind w:firstLine="594"/>
        <w:rPr>
          <w:rFonts w:hint="default" w:ascii="仿宋" w:hAnsi="仿宋" w:eastAsia="仿宋"/>
          <w:b/>
          <w:color w:val="000000"/>
          <w:sz w:val="28"/>
          <w:highlight w:val="white"/>
        </w:rPr>
      </w:pPr>
      <w:r>
        <w:rPr>
          <w:rFonts w:hint="eastAsia" w:ascii="仿宋" w:hAnsi="仿宋" w:eastAsia="仿宋"/>
          <w:b/>
          <w:color w:val="000000"/>
          <w:sz w:val="28"/>
          <w:highlight w:val="white"/>
        </w:rPr>
        <w:t>（五）一般公共预算财政拨款支出决算情况说明</w:t>
      </w:r>
    </w:p>
    <w:p>
      <w:pPr>
        <w:autoSpaceDE w:val="0"/>
        <w:autoSpaceDN w:val="0"/>
        <w:adjustRightInd w:val="0"/>
        <w:spacing w:beforeLines="0" w:afterLines="0" w:line="560" w:lineRule="exact"/>
        <w:ind w:firstLine="606"/>
        <w:rPr>
          <w:rFonts w:hint="default" w:ascii="仿宋" w:hAnsi="仿宋" w:eastAsia="仿宋"/>
          <w:color w:val="000000"/>
          <w:sz w:val="28"/>
          <w:highlight w:val="white"/>
        </w:rPr>
      </w:pPr>
      <w:r>
        <w:rPr>
          <w:rFonts w:hint="eastAsia" w:ascii="仿宋" w:hAnsi="仿宋" w:eastAsia="仿宋"/>
          <w:b/>
          <w:color w:val="000000"/>
          <w:sz w:val="28"/>
          <w:highlight w:val="white"/>
        </w:rPr>
        <w:t>1.一般公共预算财政拨款支出决算总体情况。</w:t>
      </w:r>
    </w:p>
    <w:p>
      <w:pPr>
        <w:autoSpaceDE w:val="0"/>
        <w:autoSpaceDN w:val="0"/>
        <w:adjustRightInd w:val="0"/>
        <w:spacing w:beforeLines="0" w:afterLines="0" w:line="560" w:lineRule="exact"/>
        <w:ind w:firstLine="606"/>
        <w:rPr>
          <w:rFonts w:hint="default" w:ascii="仿宋" w:hAnsi="仿宋" w:eastAsia="仿宋"/>
          <w:color w:val="000000"/>
          <w:sz w:val="28"/>
          <w:highlight w:val="white"/>
        </w:rPr>
      </w:pPr>
      <w:r>
        <w:rPr>
          <w:rFonts w:hint="eastAsia" w:ascii="仿宋" w:hAnsi="仿宋" w:eastAsia="仿宋"/>
          <w:color w:val="000000"/>
          <w:sz w:val="28"/>
          <w:highlight w:val="white"/>
        </w:rPr>
        <w:t>2020年度一般公共预算财政拨款支出1,398.81万元，占本年支出合计的91.66%。与2019年相比，一般公共预算财政拨款支出增加70.68万元，增长5.32%。主要原因是：转业士官人员经费增加，</w:t>
      </w:r>
      <w:r>
        <w:rPr>
          <w:rFonts w:hint="eastAsia" w:ascii="仿宋" w:hAnsi="仿宋" w:eastAsia="仿宋"/>
          <w:color w:val="000000"/>
          <w:sz w:val="28"/>
        </w:rPr>
        <w:t>2019年度考核奖增加及工资增加</w:t>
      </w:r>
      <w:r>
        <w:rPr>
          <w:rFonts w:hint="eastAsia" w:ascii="仿宋" w:hAnsi="仿宋" w:eastAsia="仿宋"/>
          <w:color w:val="000000"/>
          <w:sz w:val="28"/>
          <w:highlight w:val="white"/>
        </w:rPr>
        <w:t>。</w:t>
      </w:r>
    </w:p>
    <w:p>
      <w:pPr>
        <w:autoSpaceDE w:val="0"/>
        <w:autoSpaceDN w:val="0"/>
        <w:adjustRightInd w:val="0"/>
        <w:spacing w:beforeLines="0" w:afterLines="0" w:line="560" w:lineRule="exact"/>
        <w:ind w:firstLine="606"/>
        <w:rPr>
          <w:rFonts w:hint="default" w:ascii="仿宋" w:hAnsi="仿宋" w:eastAsia="仿宋"/>
          <w:color w:val="000000"/>
          <w:sz w:val="28"/>
          <w:highlight w:val="white"/>
        </w:rPr>
      </w:pPr>
      <w:r>
        <w:rPr>
          <w:rFonts w:hint="eastAsia" w:ascii="仿宋" w:hAnsi="仿宋" w:eastAsia="仿宋"/>
          <w:b/>
          <w:color w:val="000000"/>
          <w:sz w:val="28"/>
          <w:highlight w:val="white"/>
        </w:rPr>
        <w:t>2.一般公共预算财政拨款支出决算结构情况。</w:t>
      </w:r>
    </w:p>
    <w:p>
      <w:pPr>
        <w:autoSpaceDE w:val="0"/>
        <w:autoSpaceDN w:val="0"/>
        <w:adjustRightInd w:val="0"/>
        <w:spacing w:beforeLines="0" w:afterLines="0" w:line="560" w:lineRule="exact"/>
        <w:ind w:firstLine="606"/>
        <w:rPr>
          <w:rFonts w:hint="default" w:ascii="仿宋" w:hAnsi="仿宋" w:eastAsia="仿宋"/>
          <w:b/>
          <w:color w:val="000000"/>
          <w:sz w:val="28"/>
          <w:highlight w:val="white"/>
        </w:rPr>
      </w:pPr>
      <w:r>
        <w:rPr>
          <w:rFonts w:hint="eastAsia" w:ascii="仿宋" w:hAnsi="仿宋" w:eastAsia="仿宋"/>
          <w:color w:val="000000"/>
          <w:sz w:val="28"/>
          <w:highlight w:val="white"/>
        </w:rPr>
        <w:t>2020年度一般公共预算财政拨款支出1,398.81万元，主要用于以下方面：一般公共服务（类）支出</w:t>
      </w:r>
      <w:r>
        <w:rPr>
          <w:rFonts w:hint="default" w:ascii="仿宋" w:hAnsi="仿宋" w:eastAsia="仿宋"/>
          <w:sz w:val="28"/>
          <w:highlight w:val="white"/>
          <w:lang w:val="zh-CN"/>
        </w:rPr>
        <w:t>0</w:t>
      </w:r>
      <w:r>
        <w:rPr>
          <w:rFonts w:hint="eastAsia" w:ascii="仿宋" w:hAnsi="仿宋" w:eastAsia="仿宋"/>
          <w:color w:val="000000"/>
          <w:sz w:val="28"/>
          <w:highlight w:val="white"/>
        </w:rPr>
        <w:t>万元，占0%；国防（类）支出</w:t>
      </w:r>
      <w:r>
        <w:rPr>
          <w:rFonts w:hint="default" w:ascii="仿宋" w:hAnsi="仿宋" w:eastAsia="仿宋"/>
          <w:sz w:val="28"/>
          <w:highlight w:val="white"/>
          <w:lang w:val="zh-CN"/>
        </w:rPr>
        <w:t>0</w:t>
      </w:r>
      <w:r>
        <w:rPr>
          <w:rFonts w:hint="eastAsia" w:ascii="仿宋" w:hAnsi="仿宋" w:eastAsia="仿宋"/>
          <w:color w:val="000000"/>
          <w:sz w:val="28"/>
          <w:highlight w:val="white"/>
        </w:rPr>
        <w:t>万元</w:t>
      </w:r>
      <w:r>
        <w:rPr>
          <w:rFonts w:hint="default" w:ascii="仿宋" w:hAnsi="仿宋" w:eastAsia="仿宋"/>
          <w:color w:val="000000"/>
          <w:sz w:val="28"/>
          <w:highlight w:val="white"/>
        </w:rPr>
        <w:t>,</w:t>
      </w:r>
      <w:r>
        <w:rPr>
          <w:rFonts w:hint="eastAsia" w:ascii="仿宋" w:hAnsi="仿宋" w:eastAsia="仿宋"/>
          <w:color w:val="000000"/>
          <w:sz w:val="28"/>
          <w:highlight w:val="white"/>
        </w:rPr>
        <w:t>占0%；公共安全（类）支出</w:t>
      </w:r>
      <w:r>
        <w:rPr>
          <w:rFonts w:hint="default" w:ascii="仿宋" w:hAnsi="仿宋" w:eastAsia="仿宋"/>
          <w:sz w:val="28"/>
          <w:highlight w:val="white"/>
          <w:lang w:val="zh-CN"/>
        </w:rPr>
        <w:t>0</w:t>
      </w:r>
      <w:r>
        <w:rPr>
          <w:rFonts w:hint="eastAsia" w:ascii="仿宋" w:hAnsi="仿宋" w:eastAsia="仿宋"/>
          <w:color w:val="000000"/>
          <w:sz w:val="28"/>
          <w:highlight w:val="white"/>
        </w:rPr>
        <w:t>万元</w:t>
      </w:r>
      <w:r>
        <w:rPr>
          <w:rFonts w:hint="default" w:ascii="仿宋" w:hAnsi="仿宋" w:eastAsia="仿宋"/>
          <w:color w:val="000000"/>
          <w:sz w:val="28"/>
          <w:highlight w:val="white"/>
        </w:rPr>
        <w:t>,</w:t>
      </w:r>
      <w:r>
        <w:rPr>
          <w:rFonts w:hint="eastAsia" w:ascii="仿宋" w:hAnsi="仿宋" w:eastAsia="仿宋"/>
          <w:color w:val="000000"/>
          <w:sz w:val="28"/>
          <w:highlight w:val="white"/>
        </w:rPr>
        <w:t>占0%；教育（类）支出</w:t>
      </w:r>
      <w:r>
        <w:rPr>
          <w:rFonts w:hint="eastAsia" w:ascii="仿宋" w:hAnsi="仿宋" w:eastAsia="仿宋"/>
          <w:sz w:val="28"/>
          <w:highlight w:val="white"/>
          <w:lang w:val="zh-CN"/>
        </w:rPr>
        <w:t>0.32</w:t>
      </w:r>
      <w:r>
        <w:rPr>
          <w:rFonts w:hint="eastAsia" w:ascii="仿宋" w:hAnsi="仿宋" w:eastAsia="仿宋"/>
          <w:color w:val="000000"/>
          <w:sz w:val="28"/>
          <w:highlight w:val="white"/>
        </w:rPr>
        <w:t>万元</w:t>
      </w:r>
      <w:r>
        <w:rPr>
          <w:rFonts w:hint="default" w:ascii="仿宋" w:hAnsi="仿宋" w:eastAsia="仿宋"/>
          <w:color w:val="000000"/>
          <w:sz w:val="28"/>
          <w:highlight w:val="white"/>
        </w:rPr>
        <w:t>,</w:t>
      </w:r>
      <w:r>
        <w:rPr>
          <w:rFonts w:hint="eastAsia" w:ascii="仿宋" w:hAnsi="仿宋" w:eastAsia="仿宋"/>
          <w:color w:val="000000"/>
          <w:sz w:val="28"/>
          <w:highlight w:val="white"/>
        </w:rPr>
        <w:t>占</w:t>
      </w:r>
      <w:r>
        <w:rPr>
          <w:rFonts w:hint="default" w:ascii="仿宋" w:hAnsi="仿宋" w:eastAsia="仿宋"/>
          <w:color w:val="000000"/>
          <w:sz w:val="28"/>
          <w:highlight w:val="white"/>
        </w:rPr>
        <w:t>0.0</w:t>
      </w:r>
      <w:r>
        <w:rPr>
          <w:rFonts w:hint="eastAsia" w:ascii="仿宋" w:hAnsi="仿宋" w:eastAsia="仿宋"/>
          <w:color w:val="000000"/>
          <w:sz w:val="28"/>
          <w:highlight w:val="white"/>
        </w:rPr>
        <w:t>3%；科学技术（类）支出</w:t>
      </w:r>
      <w:r>
        <w:rPr>
          <w:rFonts w:hint="default" w:ascii="仿宋" w:hAnsi="仿宋" w:eastAsia="仿宋"/>
          <w:sz w:val="28"/>
          <w:highlight w:val="white"/>
          <w:lang w:val="zh-CN"/>
        </w:rPr>
        <w:t>0</w:t>
      </w:r>
      <w:r>
        <w:rPr>
          <w:rFonts w:hint="eastAsia" w:ascii="仿宋" w:hAnsi="仿宋" w:eastAsia="仿宋"/>
          <w:color w:val="000000"/>
          <w:sz w:val="28"/>
          <w:highlight w:val="white"/>
        </w:rPr>
        <w:t>万元</w:t>
      </w:r>
      <w:r>
        <w:rPr>
          <w:rFonts w:hint="default" w:ascii="仿宋" w:hAnsi="仿宋" w:eastAsia="仿宋"/>
          <w:color w:val="000000"/>
          <w:sz w:val="28"/>
          <w:highlight w:val="white"/>
        </w:rPr>
        <w:t>,</w:t>
      </w:r>
      <w:r>
        <w:rPr>
          <w:rFonts w:hint="eastAsia" w:ascii="仿宋" w:hAnsi="仿宋" w:eastAsia="仿宋"/>
          <w:color w:val="000000"/>
          <w:sz w:val="28"/>
          <w:highlight w:val="white"/>
        </w:rPr>
        <w:t>占0%；文化旅游体育与传媒（类）支出</w:t>
      </w:r>
      <w:r>
        <w:rPr>
          <w:rFonts w:hint="default" w:ascii="仿宋" w:hAnsi="仿宋" w:eastAsia="仿宋"/>
          <w:sz w:val="28"/>
          <w:highlight w:val="white"/>
          <w:lang w:val="zh-CN"/>
        </w:rPr>
        <w:t>0</w:t>
      </w:r>
      <w:r>
        <w:rPr>
          <w:rFonts w:hint="eastAsia" w:ascii="仿宋" w:hAnsi="仿宋" w:eastAsia="仿宋"/>
          <w:color w:val="000000"/>
          <w:sz w:val="28"/>
          <w:highlight w:val="white"/>
        </w:rPr>
        <w:t>万元</w:t>
      </w:r>
      <w:r>
        <w:rPr>
          <w:rFonts w:hint="default" w:ascii="仿宋" w:hAnsi="仿宋" w:eastAsia="仿宋"/>
          <w:color w:val="000000"/>
          <w:sz w:val="28"/>
          <w:highlight w:val="white"/>
        </w:rPr>
        <w:t>,</w:t>
      </w:r>
      <w:r>
        <w:rPr>
          <w:rFonts w:hint="eastAsia" w:ascii="仿宋" w:hAnsi="仿宋" w:eastAsia="仿宋"/>
          <w:color w:val="000000"/>
          <w:sz w:val="28"/>
          <w:highlight w:val="white"/>
        </w:rPr>
        <w:t>占0%；社会保障和就业（类）支出</w:t>
      </w:r>
      <w:r>
        <w:rPr>
          <w:rFonts w:hint="eastAsia" w:ascii="仿宋" w:hAnsi="仿宋" w:eastAsia="仿宋"/>
          <w:sz w:val="28"/>
          <w:highlight w:val="white"/>
          <w:lang w:val="zh-CN"/>
        </w:rPr>
        <w:t>106.27</w:t>
      </w:r>
      <w:r>
        <w:rPr>
          <w:rFonts w:hint="eastAsia" w:ascii="仿宋" w:hAnsi="仿宋" w:eastAsia="仿宋"/>
          <w:color w:val="000000"/>
          <w:sz w:val="28"/>
          <w:highlight w:val="white"/>
        </w:rPr>
        <w:t>万元</w:t>
      </w:r>
      <w:r>
        <w:rPr>
          <w:rFonts w:hint="default" w:ascii="仿宋" w:hAnsi="仿宋" w:eastAsia="仿宋"/>
          <w:color w:val="000000"/>
          <w:sz w:val="28"/>
          <w:highlight w:val="white"/>
        </w:rPr>
        <w:t>,</w:t>
      </w:r>
      <w:r>
        <w:rPr>
          <w:rFonts w:hint="eastAsia" w:ascii="仿宋" w:hAnsi="仿宋" w:eastAsia="仿宋"/>
          <w:color w:val="000000"/>
          <w:sz w:val="28"/>
          <w:highlight w:val="white"/>
        </w:rPr>
        <w:t>占7.6%；卫生健康（类）支出</w:t>
      </w:r>
      <w:r>
        <w:rPr>
          <w:rFonts w:hint="eastAsia" w:ascii="仿宋" w:hAnsi="仿宋" w:eastAsia="仿宋"/>
          <w:sz w:val="28"/>
          <w:highlight w:val="white"/>
          <w:lang w:val="zh-CN"/>
        </w:rPr>
        <w:t>36.14</w:t>
      </w:r>
      <w:r>
        <w:rPr>
          <w:rFonts w:hint="eastAsia" w:ascii="仿宋" w:hAnsi="仿宋" w:eastAsia="仿宋"/>
          <w:color w:val="000000"/>
          <w:sz w:val="28"/>
          <w:highlight w:val="white"/>
        </w:rPr>
        <w:t>万元</w:t>
      </w:r>
      <w:r>
        <w:rPr>
          <w:rFonts w:hint="default" w:ascii="仿宋" w:hAnsi="仿宋" w:eastAsia="仿宋"/>
          <w:color w:val="000000"/>
          <w:sz w:val="28"/>
          <w:highlight w:val="white"/>
        </w:rPr>
        <w:t>,</w:t>
      </w:r>
      <w:r>
        <w:rPr>
          <w:rFonts w:hint="eastAsia" w:ascii="仿宋" w:hAnsi="仿宋" w:eastAsia="仿宋"/>
          <w:color w:val="000000"/>
          <w:sz w:val="28"/>
          <w:highlight w:val="white"/>
        </w:rPr>
        <w:t>占2.58%；节能环保（类）支出</w:t>
      </w:r>
      <w:r>
        <w:rPr>
          <w:rFonts w:hint="default" w:ascii="仿宋" w:hAnsi="仿宋" w:eastAsia="仿宋"/>
          <w:sz w:val="28"/>
          <w:highlight w:val="white"/>
          <w:lang w:val="zh-CN"/>
        </w:rPr>
        <w:t>0</w:t>
      </w:r>
      <w:r>
        <w:rPr>
          <w:rFonts w:hint="eastAsia" w:ascii="仿宋" w:hAnsi="仿宋" w:eastAsia="仿宋"/>
          <w:color w:val="000000"/>
          <w:sz w:val="28"/>
          <w:highlight w:val="white"/>
        </w:rPr>
        <w:t>万元</w:t>
      </w:r>
      <w:r>
        <w:rPr>
          <w:rFonts w:hint="default" w:ascii="仿宋" w:hAnsi="仿宋" w:eastAsia="仿宋"/>
          <w:color w:val="000000"/>
          <w:sz w:val="28"/>
          <w:highlight w:val="white"/>
        </w:rPr>
        <w:t>,</w:t>
      </w:r>
      <w:r>
        <w:rPr>
          <w:rFonts w:hint="eastAsia" w:ascii="仿宋" w:hAnsi="仿宋" w:eastAsia="仿宋"/>
          <w:color w:val="000000"/>
          <w:sz w:val="28"/>
          <w:highlight w:val="white"/>
        </w:rPr>
        <w:t>占0%；城乡社区（类）支出</w:t>
      </w:r>
      <w:r>
        <w:rPr>
          <w:rFonts w:hint="default" w:ascii="仿宋" w:hAnsi="仿宋" w:eastAsia="仿宋"/>
          <w:sz w:val="28"/>
          <w:highlight w:val="white"/>
          <w:lang w:val="zh-CN"/>
        </w:rPr>
        <w:t>0</w:t>
      </w:r>
      <w:r>
        <w:rPr>
          <w:rFonts w:hint="eastAsia" w:ascii="仿宋" w:hAnsi="仿宋" w:eastAsia="仿宋"/>
          <w:color w:val="000000"/>
          <w:sz w:val="28"/>
          <w:highlight w:val="white"/>
        </w:rPr>
        <w:t>万元</w:t>
      </w:r>
      <w:r>
        <w:rPr>
          <w:rFonts w:hint="default" w:ascii="仿宋" w:hAnsi="仿宋" w:eastAsia="仿宋"/>
          <w:color w:val="000000"/>
          <w:sz w:val="28"/>
          <w:highlight w:val="white"/>
        </w:rPr>
        <w:t>,</w:t>
      </w:r>
      <w:r>
        <w:rPr>
          <w:rFonts w:hint="eastAsia" w:ascii="仿宋" w:hAnsi="仿宋" w:eastAsia="仿宋"/>
          <w:color w:val="000000"/>
          <w:sz w:val="28"/>
          <w:highlight w:val="white"/>
        </w:rPr>
        <w:t>占0%；农林水（类）支出</w:t>
      </w:r>
      <w:r>
        <w:rPr>
          <w:rFonts w:hint="default" w:ascii="仿宋" w:hAnsi="仿宋" w:eastAsia="仿宋"/>
          <w:sz w:val="28"/>
          <w:highlight w:val="white"/>
          <w:lang w:val="zh-CN"/>
        </w:rPr>
        <w:t>0</w:t>
      </w:r>
      <w:r>
        <w:rPr>
          <w:rFonts w:hint="eastAsia" w:ascii="仿宋" w:hAnsi="仿宋" w:eastAsia="仿宋"/>
          <w:color w:val="000000"/>
          <w:sz w:val="28"/>
          <w:highlight w:val="white"/>
        </w:rPr>
        <w:t>万元</w:t>
      </w:r>
      <w:r>
        <w:rPr>
          <w:rFonts w:hint="default" w:ascii="仿宋" w:hAnsi="仿宋" w:eastAsia="仿宋"/>
          <w:color w:val="000000"/>
          <w:sz w:val="28"/>
          <w:highlight w:val="white"/>
        </w:rPr>
        <w:t>,</w:t>
      </w:r>
      <w:r>
        <w:rPr>
          <w:rFonts w:hint="eastAsia" w:ascii="仿宋" w:hAnsi="仿宋" w:eastAsia="仿宋"/>
          <w:color w:val="000000"/>
          <w:sz w:val="28"/>
          <w:highlight w:val="white"/>
        </w:rPr>
        <w:t>占0%；交通运输（类）支出</w:t>
      </w:r>
      <w:r>
        <w:rPr>
          <w:rFonts w:hint="default" w:ascii="仿宋" w:hAnsi="仿宋" w:eastAsia="仿宋"/>
          <w:sz w:val="28"/>
          <w:highlight w:val="white"/>
          <w:lang w:val="zh-CN"/>
        </w:rPr>
        <w:t>0</w:t>
      </w:r>
      <w:r>
        <w:rPr>
          <w:rFonts w:hint="eastAsia" w:ascii="仿宋" w:hAnsi="仿宋" w:eastAsia="仿宋"/>
          <w:color w:val="000000"/>
          <w:sz w:val="28"/>
          <w:highlight w:val="white"/>
        </w:rPr>
        <w:t>万元</w:t>
      </w:r>
      <w:r>
        <w:rPr>
          <w:rFonts w:hint="default" w:ascii="仿宋" w:hAnsi="仿宋" w:eastAsia="仿宋"/>
          <w:color w:val="000000"/>
          <w:sz w:val="28"/>
          <w:highlight w:val="white"/>
        </w:rPr>
        <w:t>,</w:t>
      </w:r>
      <w:r>
        <w:rPr>
          <w:rFonts w:hint="eastAsia" w:ascii="仿宋" w:hAnsi="仿宋" w:eastAsia="仿宋"/>
          <w:color w:val="000000"/>
          <w:sz w:val="28"/>
          <w:highlight w:val="white"/>
        </w:rPr>
        <w:t>占0%；资源勘探工业信息等（类）支出</w:t>
      </w:r>
      <w:r>
        <w:rPr>
          <w:rFonts w:hint="default" w:ascii="仿宋" w:hAnsi="仿宋" w:eastAsia="仿宋"/>
          <w:sz w:val="28"/>
          <w:highlight w:val="white"/>
          <w:lang w:val="zh-CN"/>
        </w:rPr>
        <w:t>0</w:t>
      </w:r>
      <w:r>
        <w:rPr>
          <w:rFonts w:hint="eastAsia" w:ascii="仿宋" w:hAnsi="仿宋" w:eastAsia="仿宋"/>
          <w:color w:val="000000"/>
          <w:sz w:val="28"/>
          <w:highlight w:val="white"/>
        </w:rPr>
        <w:t>万元</w:t>
      </w:r>
      <w:r>
        <w:rPr>
          <w:rFonts w:hint="default" w:ascii="仿宋" w:hAnsi="仿宋" w:eastAsia="仿宋"/>
          <w:color w:val="000000"/>
          <w:sz w:val="28"/>
          <w:highlight w:val="white"/>
        </w:rPr>
        <w:t>,</w:t>
      </w:r>
      <w:r>
        <w:rPr>
          <w:rFonts w:hint="eastAsia" w:ascii="仿宋" w:hAnsi="仿宋" w:eastAsia="仿宋"/>
          <w:color w:val="000000"/>
          <w:sz w:val="28"/>
          <w:highlight w:val="white"/>
        </w:rPr>
        <w:t>占0%；商业服务业等（类）支出</w:t>
      </w:r>
      <w:r>
        <w:rPr>
          <w:rFonts w:hint="default" w:ascii="仿宋" w:hAnsi="仿宋" w:eastAsia="仿宋"/>
          <w:sz w:val="28"/>
          <w:highlight w:val="white"/>
          <w:lang w:val="zh-CN"/>
        </w:rPr>
        <w:t>0</w:t>
      </w:r>
      <w:r>
        <w:rPr>
          <w:rFonts w:hint="eastAsia" w:ascii="仿宋" w:hAnsi="仿宋" w:eastAsia="仿宋"/>
          <w:color w:val="000000"/>
          <w:sz w:val="28"/>
          <w:highlight w:val="white"/>
        </w:rPr>
        <w:t>万元</w:t>
      </w:r>
      <w:r>
        <w:rPr>
          <w:rFonts w:hint="default" w:ascii="仿宋" w:hAnsi="仿宋" w:eastAsia="仿宋"/>
          <w:color w:val="000000"/>
          <w:sz w:val="28"/>
          <w:highlight w:val="white"/>
        </w:rPr>
        <w:t>,</w:t>
      </w:r>
      <w:r>
        <w:rPr>
          <w:rFonts w:hint="eastAsia" w:ascii="仿宋" w:hAnsi="仿宋" w:eastAsia="仿宋"/>
          <w:color w:val="000000"/>
          <w:sz w:val="28"/>
          <w:highlight w:val="white"/>
        </w:rPr>
        <w:t>占0%；金融（类）支出</w:t>
      </w:r>
      <w:r>
        <w:rPr>
          <w:rFonts w:hint="default" w:ascii="仿宋" w:hAnsi="仿宋" w:eastAsia="仿宋"/>
          <w:sz w:val="28"/>
          <w:highlight w:val="white"/>
          <w:lang w:val="zh-CN"/>
        </w:rPr>
        <w:t>0</w:t>
      </w:r>
      <w:r>
        <w:rPr>
          <w:rFonts w:hint="eastAsia" w:ascii="仿宋" w:hAnsi="仿宋" w:eastAsia="仿宋"/>
          <w:color w:val="000000"/>
          <w:sz w:val="28"/>
          <w:highlight w:val="white"/>
        </w:rPr>
        <w:t>万元</w:t>
      </w:r>
      <w:r>
        <w:rPr>
          <w:rFonts w:hint="default" w:ascii="仿宋" w:hAnsi="仿宋" w:eastAsia="仿宋"/>
          <w:color w:val="000000"/>
          <w:sz w:val="28"/>
          <w:highlight w:val="white"/>
        </w:rPr>
        <w:t>,</w:t>
      </w:r>
      <w:r>
        <w:rPr>
          <w:rFonts w:hint="eastAsia" w:ascii="仿宋" w:hAnsi="仿宋" w:eastAsia="仿宋"/>
          <w:color w:val="000000"/>
          <w:sz w:val="28"/>
          <w:highlight w:val="white"/>
        </w:rPr>
        <w:t>占0%；援助其他地区（类）支出</w:t>
      </w:r>
      <w:r>
        <w:rPr>
          <w:rFonts w:hint="default" w:ascii="仿宋" w:hAnsi="仿宋" w:eastAsia="仿宋"/>
          <w:sz w:val="28"/>
          <w:highlight w:val="white"/>
          <w:lang w:val="zh-CN"/>
        </w:rPr>
        <w:t>0</w:t>
      </w:r>
      <w:r>
        <w:rPr>
          <w:rFonts w:hint="eastAsia" w:ascii="仿宋" w:hAnsi="仿宋" w:eastAsia="仿宋"/>
          <w:color w:val="000000"/>
          <w:sz w:val="28"/>
          <w:highlight w:val="white"/>
        </w:rPr>
        <w:t>万元</w:t>
      </w:r>
      <w:r>
        <w:rPr>
          <w:rFonts w:hint="default" w:ascii="仿宋" w:hAnsi="仿宋" w:eastAsia="仿宋"/>
          <w:color w:val="000000"/>
          <w:sz w:val="28"/>
          <w:highlight w:val="white"/>
        </w:rPr>
        <w:t>,</w:t>
      </w:r>
      <w:r>
        <w:rPr>
          <w:rFonts w:hint="eastAsia" w:ascii="仿宋" w:hAnsi="仿宋" w:eastAsia="仿宋"/>
          <w:color w:val="000000"/>
          <w:sz w:val="28"/>
          <w:highlight w:val="white"/>
        </w:rPr>
        <w:t>占0%；自然资源海洋气象等（类）支出</w:t>
      </w:r>
      <w:r>
        <w:rPr>
          <w:rFonts w:hint="eastAsia" w:ascii="仿宋" w:hAnsi="仿宋" w:eastAsia="仿宋"/>
          <w:sz w:val="28"/>
          <w:highlight w:val="white"/>
          <w:lang w:val="zh-CN"/>
        </w:rPr>
        <w:t>1,153.06</w:t>
      </w:r>
      <w:r>
        <w:rPr>
          <w:rFonts w:hint="eastAsia" w:ascii="仿宋" w:hAnsi="仿宋" w:eastAsia="仿宋"/>
          <w:color w:val="000000"/>
          <w:sz w:val="28"/>
          <w:highlight w:val="white"/>
        </w:rPr>
        <w:t>万元</w:t>
      </w:r>
      <w:r>
        <w:rPr>
          <w:rFonts w:hint="default" w:ascii="仿宋" w:hAnsi="仿宋" w:eastAsia="仿宋"/>
          <w:color w:val="000000"/>
          <w:sz w:val="28"/>
          <w:highlight w:val="white"/>
        </w:rPr>
        <w:t>,</w:t>
      </w:r>
      <w:r>
        <w:rPr>
          <w:rFonts w:hint="eastAsia" w:ascii="仿宋" w:hAnsi="仿宋" w:eastAsia="仿宋"/>
          <w:color w:val="000000"/>
          <w:sz w:val="28"/>
          <w:highlight w:val="white"/>
        </w:rPr>
        <w:t>占82.43%；住房保障（类）支出</w:t>
      </w:r>
      <w:r>
        <w:rPr>
          <w:rFonts w:hint="eastAsia" w:ascii="仿宋" w:hAnsi="仿宋" w:eastAsia="仿宋"/>
          <w:sz w:val="28"/>
          <w:highlight w:val="white"/>
          <w:lang w:val="zh-CN"/>
        </w:rPr>
        <w:t>103.02</w:t>
      </w:r>
      <w:r>
        <w:rPr>
          <w:rFonts w:hint="eastAsia" w:ascii="仿宋" w:hAnsi="仿宋" w:eastAsia="仿宋"/>
          <w:color w:val="000000"/>
          <w:sz w:val="28"/>
          <w:highlight w:val="white"/>
        </w:rPr>
        <w:t>万元</w:t>
      </w:r>
      <w:r>
        <w:rPr>
          <w:rFonts w:hint="default" w:ascii="仿宋" w:hAnsi="仿宋" w:eastAsia="仿宋"/>
          <w:color w:val="000000"/>
          <w:sz w:val="28"/>
          <w:highlight w:val="white"/>
        </w:rPr>
        <w:t>,</w:t>
      </w:r>
      <w:r>
        <w:rPr>
          <w:rFonts w:hint="eastAsia" w:ascii="仿宋" w:hAnsi="仿宋" w:eastAsia="仿宋"/>
          <w:color w:val="000000"/>
          <w:sz w:val="28"/>
          <w:highlight w:val="white"/>
        </w:rPr>
        <w:t>占7.36%；粮油物资储备（类）支出</w:t>
      </w:r>
      <w:r>
        <w:rPr>
          <w:rFonts w:hint="default" w:ascii="仿宋" w:hAnsi="仿宋" w:eastAsia="仿宋"/>
          <w:sz w:val="28"/>
          <w:highlight w:val="white"/>
          <w:lang w:val="zh-CN"/>
        </w:rPr>
        <w:t>0</w:t>
      </w:r>
      <w:r>
        <w:rPr>
          <w:rFonts w:hint="eastAsia" w:ascii="仿宋" w:hAnsi="仿宋" w:eastAsia="仿宋"/>
          <w:color w:val="000000"/>
          <w:sz w:val="28"/>
          <w:highlight w:val="white"/>
        </w:rPr>
        <w:t>万元</w:t>
      </w:r>
      <w:r>
        <w:rPr>
          <w:rFonts w:hint="default" w:ascii="仿宋" w:hAnsi="仿宋" w:eastAsia="仿宋"/>
          <w:color w:val="000000"/>
          <w:sz w:val="28"/>
          <w:highlight w:val="white"/>
        </w:rPr>
        <w:t>,</w:t>
      </w:r>
      <w:r>
        <w:rPr>
          <w:rFonts w:hint="eastAsia" w:ascii="仿宋" w:hAnsi="仿宋" w:eastAsia="仿宋"/>
          <w:color w:val="000000"/>
          <w:sz w:val="28"/>
          <w:highlight w:val="white"/>
        </w:rPr>
        <w:t>占0%；灾害防治及应急管理（类）支出</w:t>
      </w:r>
      <w:r>
        <w:rPr>
          <w:rFonts w:hint="default" w:ascii="仿宋" w:hAnsi="仿宋" w:eastAsia="仿宋"/>
          <w:sz w:val="28"/>
          <w:highlight w:val="white"/>
          <w:lang w:val="zh-CN"/>
        </w:rPr>
        <w:t>0</w:t>
      </w:r>
      <w:r>
        <w:rPr>
          <w:rFonts w:hint="eastAsia" w:ascii="仿宋" w:hAnsi="仿宋" w:eastAsia="仿宋"/>
          <w:color w:val="000000"/>
          <w:sz w:val="28"/>
          <w:highlight w:val="white"/>
        </w:rPr>
        <w:t>万元</w:t>
      </w:r>
      <w:r>
        <w:rPr>
          <w:rFonts w:hint="default" w:ascii="仿宋" w:hAnsi="仿宋" w:eastAsia="仿宋"/>
          <w:color w:val="000000"/>
          <w:sz w:val="28"/>
          <w:highlight w:val="white"/>
        </w:rPr>
        <w:t>,</w:t>
      </w:r>
      <w:r>
        <w:rPr>
          <w:rFonts w:hint="eastAsia" w:ascii="仿宋" w:hAnsi="仿宋" w:eastAsia="仿宋"/>
          <w:color w:val="000000"/>
          <w:sz w:val="28"/>
          <w:highlight w:val="white"/>
        </w:rPr>
        <w:t>占0%；其他（类）支出</w:t>
      </w:r>
      <w:r>
        <w:rPr>
          <w:rFonts w:hint="default" w:ascii="仿宋" w:hAnsi="仿宋" w:eastAsia="仿宋"/>
          <w:sz w:val="28"/>
          <w:highlight w:val="white"/>
          <w:lang w:val="zh-CN"/>
        </w:rPr>
        <w:t>0</w:t>
      </w:r>
      <w:r>
        <w:rPr>
          <w:rFonts w:hint="eastAsia" w:ascii="仿宋" w:hAnsi="仿宋" w:eastAsia="仿宋"/>
          <w:color w:val="000000"/>
          <w:sz w:val="28"/>
          <w:highlight w:val="white"/>
        </w:rPr>
        <w:t>万元</w:t>
      </w:r>
      <w:r>
        <w:rPr>
          <w:rFonts w:hint="default" w:ascii="仿宋" w:hAnsi="仿宋" w:eastAsia="仿宋"/>
          <w:color w:val="000000"/>
          <w:sz w:val="28"/>
          <w:highlight w:val="white"/>
        </w:rPr>
        <w:t>,</w:t>
      </w:r>
      <w:r>
        <w:rPr>
          <w:rFonts w:hint="eastAsia" w:ascii="仿宋" w:hAnsi="仿宋" w:eastAsia="仿宋"/>
          <w:color w:val="000000"/>
          <w:sz w:val="28"/>
          <w:highlight w:val="white"/>
        </w:rPr>
        <w:t>占0%；债务还本（类）支出</w:t>
      </w:r>
      <w:r>
        <w:rPr>
          <w:rFonts w:hint="default" w:ascii="仿宋" w:hAnsi="仿宋" w:eastAsia="仿宋"/>
          <w:sz w:val="28"/>
          <w:highlight w:val="white"/>
          <w:lang w:val="zh-CN"/>
        </w:rPr>
        <w:t>0</w:t>
      </w:r>
      <w:r>
        <w:rPr>
          <w:rFonts w:hint="eastAsia" w:ascii="仿宋" w:hAnsi="仿宋" w:eastAsia="仿宋"/>
          <w:color w:val="000000"/>
          <w:sz w:val="28"/>
          <w:highlight w:val="white"/>
        </w:rPr>
        <w:t>万元</w:t>
      </w:r>
      <w:r>
        <w:rPr>
          <w:rFonts w:hint="default" w:ascii="仿宋" w:hAnsi="仿宋" w:eastAsia="仿宋"/>
          <w:color w:val="000000"/>
          <w:sz w:val="28"/>
          <w:highlight w:val="white"/>
        </w:rPr>
        <w:t>,</w:t>
      </w:r>
      <w:r>
        <w:rPr>
          <w:rFonts w:hint="eastAsia" w:ascii="仿宋" w:hAnsi="仿宋" w:eastAsia="仿宋"/>
          <w:color w:val="000000"/>
          <w:sz w:val="28"/>
          <w:highlight w:val="white"/>
        </w:rPr>
        <w:t>占0%；债务付息（类）支出</w:t>
      </w:r>
      <w:r>
        <w:rPr>
          <w:rFonts w:hint="default" w:ascii="仿宋" w:hAnsi="仿宋" w:eastAsia="仿宋"/>
          <w:sz w:val="28"/>
          <w:highlight w:val="white"/>
          <w:lang w:val="zh-CN"/>
        </w:rPr>
        <w:t>0</w:t>
      </w:r>
      <w:r>
        <w:rPr>
          <w:rFonts w:hint="eastAsia" w:ascii="仿宋" w:hAnsi="仿宋" w:eastAsia="仿宋"/>
          <w:color w:val="000000"/>
          <w:sz w:val="28"/>
          <w:highlight w:val="white"/>
        </w:rPr>
        <w:t>万元</w:t>
      </w:r>
      <w:r>
        <w:rPr>
          <w:rFonts w:hint="default" w:ascii="仿宋" w:hAnsi="仿宋" w:eastAsia="仿宋"/>
          <w:color w:val="000000"/>
          <w:sz w:val="28"/>
          <w:highlight w:val="white"/>
        </w:rPr>
        <w:t>,</w:t>
      </w:r>
      <w:r>
        <w:rPr>
          <w:rFonts w:hint="eastAsia" w:ascii="仿宋" w:hAnsi="仿宋" w:eastAsia="仿宋"/>
          <w:color w:val="000000"/>
          <w:sz w:val="28"/>
          <w:highlight w:val="white"/>
        </w:rPr>
        <w:t>占0%。</w:t>
      </w:r>
    </w:p>
    <w:p>
      <w:pPr>
        <w:autoSpaceDE w:val="0"/>
        <w:autoSpaceDN w:val="0"/>
        <w:adjustRightInd w:val="0"/>
        <w:spacing w:beforeLines="0" w:afterLines="0" w:line="560" w:lineRule="exact"/>
        <w:ind w:firstLine="606"/>
        <w:rPr>
          <w:rFonts w:hint="default" w:ascii="仿宋" w:hAnsi="仿宋" w:eastAsia="仿宋"/>
          <w:color w:val="000000"/>
          <w:sz w:val="28"/>
          <w:highlight w:val="white"/>
        </w:rPr>
      </w:pPr>
      <w:r>
        <w:rPr>
          <w:rFonts w:hint="eastAsia" w:ascii="仿宋" w:hAnsi="仿宋" w:eastAsia="仿宋"/>
          <w:b/>
          <w:color w:val="000000"/>
          <w:sz w:val="28"/>
          <w:highlight w:val="white"/>
        </w:rPr>
        <w:t>3.一般公共预算财政拨款支出决算具体情况。</w:t>
      </w:r>
    </w:p>
    <w:p>
      <w:pPr>
        <w:autoSpaceDE w:val="0"/>
        <w:autoSpaceDN w:val="0"/>
        <w:adjustRightInd w:val="0"/>
        <w:spacing w:beforeLines="0" w:afterLines="0" w:line="560" w:lineRule="exact"/>
        <w:ind w:firstLine="606"/>
        <w:rPr>
          <w:rFonts w:hint="default" w:ascii="仿宋" w:hAnsi="仿宋" w:eastAsia="仿宋"/>
          <w:color w:val="000000"/>
          <w:sz w:val="28"/>
          <w:highlight w:val="white"/>
        </w:rPr>
      </w:pPr>
      <w:r>
        <w:rPr>
          <w:rFonts w:hint="eastAsia" w:ascii="仿宋" w:hAnsi="仿宋" w:eastAsia="仿宋"/>
          <w:color w:val="000000"/>
          <w:sz w:val="28"/>
          <w:highlight w:val="white"/>
        </w:rPr>
        <w:t>2020年度一般公共预算财政拨款支出年初预算为1244.16万元，支出决算为1,398.81万元</w:t>
      </w:r>
      <w:r>
        <w:rPr>
          <w:rFonts w:hint="default" w:ascii="仿宋" w:hAnsi="仿宋" w:eastAsia="仿宋"/>
          <w:color w:val="000000"/>
          <w:sz w:val="28"/>
          <w:highlight w:val="white"/>
        </w:rPr>
        <w:t>,</w:t>
      </w:r>
      <w:r>
        <w:rPr>
          <w:rFonts w:hint="eastAsia" w:ascii="仿宋" w:hAnsi="仿宋" w:eastAsia="仿宋"/>
          <w:color w:val="000000"/>
          <w:sz w:val="28"/>
          <w:highlight w:val="white"/>
        </w:rPr>
        <w:t>完成年初预算的112.43%，主要原因是转业士官人员经费增加，社保、公积金增加。其中：</w:t>
      </w:r>
    </w:p>
    <w:p>
      <w:pPr>
        <w:autoSpaceDE w:val="0"/>
        <w:autoSpaceDN w:val="0"/>
        <w:adjustRightInd w:val="0"/>
        <w:spacing w:beforeLines="0" w:afterLines="0" w:line="560" w:lineRule="exact"/>
        <w:ind w:firstLine="606"/>
        <w:rPr>
          <w:rFonts w:hint="default" w:ascii="仿宋" w:hAnsi="仿宋" w:eastAsia="仿宋"/>
          <w:color w:val="00B050"/>
          <w:sz w:val="28"/>
          <w:highlight w:val="white"/>
        </w:rPr>
      </w:pPr>
      <w:r>
        <w:rPr>
          <w:rFonts w:hint="eastAsia" w:ascii="仿宋" w:hAnsi="仿宋" w:eastAsia="仿宋"/>
          <w:color w:val="000000"/>
          <w:kern w:val="0"/>
          <w:sz w:val="28"/>
          <w:shd w:val="clear" w:color="auto" w:fill="FFFFFF"/>
        </w:rPr>
        <w:t>教育支出(类）其他教育支出（款）其他教育支出（项）。年初预算为 14.40万元，支出决算为0.32万元</w:t>
      </w:r>
      <w:r>
        <w:rPr>
          <w:rFonts w:hint="default" w:ascii="仿宋" w:hAnsi="仿宋" w:eastAsia="仿宋"/>
          <w:color w:val="000000"/>
          <w:kern w:val="0"/>
          <w:sz w:val="28"/>
          <w:shd w:val="clear" w:color="auto" w:fill="FFFFFF"/>
        </w:rPr>
        <w:t>,</w:t>
      </w:r>
      <w:r>
        <w:rPr>
          <w:rFonts w:hint="eastAsia" w:ascii="仿宋" w:hAnsi="仿宋" w:eastAsia="仿宋"/>
          <w:color w:val="000000"/>
          <w:kern w:val="0"/>
          <w:sz w:val="28"/>
          <w:shd w:val="clear" w:color="auto" w:fill="FFFFFF"/>
        </w:rPr>
        <w:t>完成年初预算的 2.22%，决算数小于预算数的主要原因：受疫情影响，未组织集体培训。</w:t>
      </w:r>
    </w:p>
    <w:p>
      <w:pPr>
        <w:widowControl/>
        <w:spacing w:beforeLines="0" w:beforeAutospacing="1" w:afterLines="0" w:afterAutospacing="1" w:line="540" w:lineRule="exact"/>
        <w:ind w:firstLine="496" w:firstLineChars="200"/>
        <w:jc w:val="left"/>
        <w:rPr>
          <w:rFonts w:hint="default" w:ascii="仿宋" w:hAnsi="仿宋" w:eastAsia="仿宋"/>
          <w:sz w:val="28"/>
        </w:rPr>
      </w:pPr>
      <w:r>
        <w:rPr>
          <w:rFonts w:hint="eastAsia" w:ascii="仿宋" w:hAnsi="仿宋" w:eastAsia="仿宋"/>
          <w:color w:val="3D3D3D"/>
          <w:spacing w:val="-16"/>
          <w:sz w:val="28"/>
        </w:rPr>
        <w:t>社会保障和就业支出（类）行政事业单位离退休（款）其他行政事业单位离退休支出（项）。</w:t>
      </w:r>
      <w:r>
        <w:rPr>
          <w:rFonts w:hint="eastAsia" w:ascii="仿宋" w:hAnsi="仿宋" w:eastAsia="仿宋"/>
          <w:sz w:val="28"/>
          <w:highlight w:val="white"/>
        </w:rPr>
        <w:t>年初预算为3.40万元，支出决算为3.12</w:t>
      </w:r>
      <w:r>
        <w:rPr>
          <w:rFonts w:hint="eastAsia" w:ascii="仿宋" w:hAnsi="仿宋" w:eastAsia="仿宋"/>
          <w:color w:val="000000"/>
          <w:sz w:val="28"/>
          <w:highlight w:val="white"/>
        </w:rPr>
        <w:t>万元</w:t>
      </w:r>
      <w:r>
        <w:rPr>
          <w:rFonts w:hint="default" w:ascii="仿宋" w:hAnsi="仿宋" w:eastAsia="仿宋"/>
          <w:sz w:val="28"/>
          <w:highlight w:val="white"/>
        </w:rPr>
        <w:t>,</w:t>
      </w:r>
      <w:r>
        <w:rPr>
          <w:rFonts w:hint="eastAsia" w:ascii="仿宋" w:hAnsi="仿宋" w:eastAsia="仿宋"/>
          <w:sz w:val="28"/>
          <w:highlight w:val="white"/>
        </w:rPr>
        <w:t>完成年初预算的91.76</w:t>
      </w:r>
      <w:r>
        <w:rPr>
          <w:rFonts w:hint="eastAsia" w:ascii="仿宋" w:hAnsi="仿宋" w:eastAsia="仿宋"/>
          <w:color w:val="000000"/>
          <w:sz w:val="28"/>
          <w:highlight w:val="white"/>
        </w:rPr>
        <w:t>%</w:t>
      </w:r>
      <w:r>
        <w:rPr>
          <w:rFonts w:hint="eastAsia" w:ascii="仿宋" w:hAnsi="仿宋" w:eastAsia="仿宋"/>
          <w:sz w:val="28"/>
          <w:highlight w:val="white"/>
        </w:rPr>
        <w:t>，决算数小于预算数的主要原</w:t>
      </w:r>
      <w:r>
        <w:rPr>
          <w:rFonts w:hint="eastAsia" w:ascii="仿宋" w:hAnsi="仿宋" w:eastAsia="仿宋"/>
          <w:sz w:val="28"/>
        </w:rPr>
        <w:t>因是本年退休人员2人。</w:t>
      </w:r>
    </w:p>
    <w:p>
      <w:pPr>
        <w:widowControl/>
        <w:spacing w:beforeLines="0" w:beforeAutospacing="1" w:afterLines="0" w:afterAutospacing="1" w:line="540" w:lineRule="exact"/>
        <w:ind w:firstLine="496" w:firstLineChars="200"/>
        <w:jc w:val="left"/>
        <w:rPr>
          <w:rFonts w:hint="default" w:ascii="仿宋" w:hAnsi="仿宋" w:eastAsia="仿宋"/>
          <w:sz w:val="28"/>
        </w:rPr>
      </w:pPr>
      <w:r>
        <w:rPr>
          <w:rFonts w:hint="eastAsia" w:ascii="仿宋" w:hAnsi="仿宋" w:eastAsia="仿宋"/>
          <w:color w:val="3D3D3D"/>
          <w:spacing w:val="-16"/>
          <w:sz w:val="28"/>
        </w:rPr>
        <w:t>社会保障和就业支出（类）行政事业单位离退休（款）机关事业单位职业年金缴费支出（项）。</w:t>
      </w:r>
      <w:r>
        <w:rPr>
          <w:rFonts w:hint="eastAsia" w:ascii="仿宋" w:hAnsi="仿宋" w:eastAsia="仿宋"/>
          <w:sz w:val="28"/>
          <w:highlight w:val="white"/>
        </w:rPr>
        <w:t>年初预算为33.25万元，支出决算为28.95</w:t>
      </w:r>
      <w:r>
        <w:rPr>
          <w:rFonts w:hint="eastAsia" w:ascii="仿宋" w:hAnsi="仿宋" w:eastAsia="仿宋"/>
          <w:color w:val="000000"/>
          <w:sz w:val="28"/>
          <w:highlight w:val="white"/>
        </w:rPr>
        <w:t>万元</w:t>
      </w:r>
      <w:r>
        <w:rPr>
          <w:rFonts w:hint="default" w:ascii="仿宋" w:hAnsi="仿宋" w:eastAsia="仿宋"/>
          <w:sz w:val="28"/>
          <w:highlight w:val="white"/>
        </w:rPr>
        <w:t>,</w:t>
      </w:r>
      <w:r>
        <w:rPr>
          <w:rFonts w:hint="eastAsia" w:ascii="仿宋" w:hAnsi="仿宋" w:eastAsia="仿宋"/>
          <w:sz w:val="28"/>
          <w:highlight w:val="white"/>
        </w:rPr>
        <w:t>完成年初预算的87.07</w:t>
      </w:r>
      <w:r>
        <w:rPr>
          <w:rFonts w:hint="eastAsia" w:ascii="仿宋" w:hAnsi="仿宋" w:eastAsia="仿宋"/>
          <w:color w:val="000000"/>
          <w:sz w:val="28"/>
          <w:highlight w:val="white"/>
        </w:rPr>
        <w:t>%</w:t>
      </w:r>
      <w:r>
        <w:rPr>
          <w:rFonts w:hint="eastAsia" w:ascii="仿宋" w:hAnsi="仿宋" w:eastAsia="仿宋"/>
          <w:sz w:val="28"/>
          <w:highlight w:val="white"/>
        </w:rPr>
        <w:t>，决算数小于预算数的主要原</w:t>
      </w:r>
      <w:r>
        <w:rPr>
          <w:rFonts w:hint="eastAsia" w:ascii="仿宋" w:hAnsi="仿宋" w:eastAsia="仿宋"/>
          <w:sz w:val="28"/>
        </w:rPr>
        <w:t>因是本年退休人员2人。</w:t>
      </w:r>
    </w:p>
    <w:p>
      <w:pPr>
        <w:widowControl/>
        <w:spacing w:beforeLines="0" w:beforeAutospacing="1" w:afterLines="0" w:afterAutospacing="1" w:line="540" w:lineRule="exact"/>
        <w:ind w:firstLine="560" w:firstLineChars="200"/>
        <w:jc w:val="left"/>
        <w:rPr>
          <w:rFonts w:hint="default" w:ascii="仿宋" w:hAnsi="仿宋" w:eastAsia="仿宋"/>
          <w:sz w:val="28"/>
        </w:rPr>
      </w:pPr>
      <w:r>
        <w:rPr>
          <w:rFonts w:hint="eastAsia" w:ascii="仿宋" w:hAnsi="仿宋" w:eastAsia="仿宋"/>
          <w:color w:val="000000"/>
          <w:kern w:val="0"/>
          <w:sz w:val="28"/>
          <w:shd w:val="clear" w:color="auto" w:fill="FFFFFF"/>
        </w:rPr>
        <w:t>社会保障和就业支出（类）行政事业单位离退休（款）机关事业单位基本养老保险缴费支出（项）。年初预算为</w:t>
      </w:r>
      <w:r>
        <w:rPr>
          <w:rFonts w:hint="eastAsia" w:ascii="仿宋" w:hAnsi="仿宋" w:eastAsia="仿宋"/>
          <w:kern w:val="0"/>
          <w:sz w:val="28"/>
          <w:shd w:val="clear" w:color="auto" w:fill="FFFFFF"/>
        </w:rPr>
        <w:t>66.50</w:t>
      </w:r>
      <w:r>
        <w:rPr>
          <w:rFonts w:hint="eastAsia" w:ascii="仿宋" w:hAnsi="仿宋" w:eastAsia="仿宋"/>
          <w:color w:val="000000"/>
          <w:kern w:val="0"/>
          <w:sz w:val="28"/>
          <w:shd w:val="clear" w:color="auto" w:fill="FFFFFF"/>
        </w:rPr>
        <w:t>万元，支出决算为64.04万元</w:t>
      </w:r>
      <w:r>
        <w:rPr>
          <w:rFonts w:hint="default" w:ascii="仿宋" w:hAnsi="仿宋" w:eastAsia="仿宋"/>
          <w:color w:val="000000"/>
          <w:kern w:val="0"/>
          <w:sz w:val="28"/>
          <w:shd w:val="clear" w:color="auto" w:fill="FFFFFF"/>
        </w:rPr>
        <w:t>,</w:t>
      </w:r>
      <w:r>
        <w:rPr>
          <w:rFonts w:hint="eastAsia" w:ascii="仿宋" w:hAnsi="仿宋" w:eastAsia="仿宋"/>
          <w:color w:val="000000"/>
          <w:kern w:val="0"/>
          <w:sz w:val="28"/>
          <w:shd w:val="clear" w:color="auto" w:fill="FFFFFF"/>
        </w:rPr>
        <w:t>完成年初预算的</w:t>
      </w:r>
      <w:r>
        <w:rPr>
          <w:rFonts w:hint="eastAsia" w:ascii="仿宋" w:hAnsi="仿宋" w:eastAsia="仿宋"/>
          <w:kern w:val="0"/>
          <w:sz w:val="28"/>
          <w:shd w:val="clear" w:color="auto" w:fill="FFFFFF"/>
        </w:rPr>
        <w:t xml:space="preserve"> 96.30 </w:t>
      </w:r>
      <w:r>
        <w:rPr>
          <w:rFonts w:hint="eastAsia" w:ascii="仿宋" w:hAnsi="仿宋" w:eastAsia="仿宋"/>
          <w:color w:val="000000"/>
          <w:kern w:val="0"/>
          <w:sz w:val="28"/>
          <w:shd w:val="clear" w:color="auto" w:fill="FFFFFF"/>
        </w:rPr>
        <w:t>%，</w:t>
      </w:r>
      <w:r>
        <w:rPr>
          <w:rFonts w:hint="eastAsia" w:ascii="仿宋" w:hAnsi="仿宋" w:eastAsia="仿宋"/>
          <w:sz w:val="28"/>
          <w:highlight w:val="white"/>
        </w:rPr>
        <w:t>决算数小于预算数的主要原</w:t>
      </w:r>
      <w:r>
        <w:rPr>
          <w:rFonts w:hint="eastAsia" w:ascii="仿宋" w:hAnsi="仿宋" w:eastAsia="仿宋"/>
          <w:sz w:val="28"/>
        </w:rPr>
        <w:t>因是本年退休人员2人。</w:t>
      </w:r>
    </w:p>
    <w:p>
      <w:pPr>
        <w:widowControl/>
        <w:spacing w:beforeLines="0" w:beforeAutospacing="1" w:afterLines="0" w:afterAutospacing="1" w:line="540" w:lineRule="exact"/>
        <w:ind w:firstLine="560" w:firstLineChars="200"/>
        <w:jc w:val="left"/>
        <w:rPr>
          <w:rFonts w:hint="default" w:ascii="仿宋" w:hAnsi="仿宋" w:eastAsia="仿宋"/>
          <w:sz w:val="28"/>
          <w:highlight w:val="white"/>
        </w:rPr>
      </w:pPr>
      <w:r>
        <w:rPr>
          <w:rFonts w:hint="eastAsia" w:ascii="仿宋" w:hAnsi="仿宋" w:eastAsia="仿宋"/>
          <w:color w:val="3D3D3D"/>
          <w:sz w:val="28"/>
        </w:rPr>
        <w:t>社会保障和就业支出（类)退役安置（款）其他退役安置支出（项）</w:t>
      </w:r>
      <w:r>
        <w:rPr>
          <w:rFonts w:hint="eastAsia" w:ascii="仿宋" w:hAnsi="仿宋" w:eastAsia="仿宋"/>
          <w:sz w:val="28"/>
          <w:highlight w:val="white"/>
        </w:rPr>
        <w:t>年初预算为 0 万元，支出决算为10.15</w:t>
      </w:r>
      <w:r>
        <w:rPr>
          <w:rFonts w:hint="eastAsia" w:ascii="仿宋" w:hAnsi="仿宋" w:eastAsia="仿宋"/>
          <w:color w:val="000000"/>
          <w:sz w:val="28"/>
          <w:highlight w:val="white"/>
        </w:rPr>
        <w:t>万元</w:t>
      </w:r>
      <w:r>
        <w:rPr>
          <w:rFonts w:hint="default" w:ascii="仿宋" w:hAnsi="仿宋" w:eastAsia="仿宋"/>
          <w:sz w:val="28"/>
          <w:highlight w:val="white"/>
        </w:rPr>
        <w:t>,</w:t>
      </w:r>
      <w:r>
        <w:rPr>
          <w:rFonts w:hint="eastAsia" w:ascii="仿宋" w:hAnsi="仿宋" w:eastAsia="仿宋"/>
          <w:sz w:val="28"/>
          <w:highlight w:val="white"/>
        </w:rPr>
        <w:t>完成年初预算的</w:t>
      </w:r>
      <w:r>
        <w:rPr>
          <w:rFonts w:hint="default" w:ascii="仿宋" w:hAnsi="仿宋" w:eastAsia="仿宋"/>
          <w:color w:val="000000"/>
          <w:sz w:val="28"/>
          <w:highlight w:val="white"/>
        </w:rPr>
        <w:t>0</w:t>
      </w:r>
      <w:r>
        <w:rPr>
          <w:rFonts w:hint="eastAsia" w:ascii="仿宋" w:hAnsi="仿宋" w:eastAsia="仿宋"/>
          <w:color w:val="000000"/>
          <w:sz w:val="28"/>
          <w:highlight w:val="white"/>
        </w:rPr>
        <w:t>%</w:t>
      </w:r>
      <w:r>
        <w:rPr>
          <w:rFonts w:hint="eastAsia" w:ascii="仿宋" w:hAnsi="仿宋" w:eastAsia="仿宋"/>
          <w:sz w:val="28"/>
          <w:highlight w:val="white"/>
        </w:rPr>
        <w:t>，决算数大于预算数主要原因财政追加转业士官人员经费。</w:t>
      </w:r>
    </w:p>
    <w:p>
      <w:pPr>
        <w:widowControl/>
        <w:spacing w:beforeLines="0" w:beforeAutospacing="1" w:afterLines="0" w:afterAutospacing="1" w:line="540" w:lineRule="exact"/>
        <w:ind w:firstLine="560" w:firstLineChars="200"/>
        <w:jc w:val="left"/>
        <w:rPr>
          <w:rFonts w:hint="default" w:ascii="仿宋" w:hAnsi="仿宋" w:eastAsia="仿宋"/>
          <w:sz w:val="28"/>
        </w:rPr>
      </w:pPr>
      <w:r>
        <w:rPr>
          <w:rFonts w:hint="eastAsia" w:ascii="仿宋" w:hAnsi="仿宋" w:eastAsia="仿宋"/>
          <w:color w:val="000000"/>
          <w:kern w:val="0"/>
          <w:sz w:val="28"/>
          <w:shd w:val="clear" w:color="auto" w:fill="FFFFFF"/>
        </w:rPr>
        <w:t>卫生健康支出（类）行政事业单位医疗（款）行政单位医疗（项）。年初预算为39.49万元，支出决算为36.14万元</w:t>
      </w:r>
      <w:r>
        <w:rPr>
          <w:rFonts w:hint="default" w:ascii="仿宋" w:hAnsi="仿宋" w:eastAsia="仿宋"/>
          <w:color w:val="000000"/>
          <w:kern w:val="0"/>
          <w:sz w:val="28"/>
          <w:shd w:val="clear" w:color="auto" w:fill="FFFFFF"/>
        </w:rPr>
        <w:t>,</w:t>
      </w:r>
      <w:r>
        <w:rPr>
          <w:rFonts w:hint="eastAsia" w:ascii="仿宋" w:hAnsi="仿宋" w:eastAsia="仿宋"/>
          <w:color w:val="000000"/>
          <w:kern w:val="0"/>
          <w:sz w:val="28"/>
          <w:shd w:val="clear" w:color="auto" w:fill="FFFFFF"/>
        </w:rPr>
        <w:t>完成年初预算的 90.15%，</w:t>
      </w:r>
      <w:r>
        <w:rPr>
          <w:rFonts w:hint="eastAsia" w:ascii="仿宋" w:hAnsi="仿宋" w:eastAsia="仿宋"/>
          <w:sz w:val="28"/>
          <w:highlight w:val="white"/>
        </w:rPr>
        <w:t>决算数小于预算数的主要原</w:t>
      </w:r>
      <w:r>
        <w:rPr>
          <w:rFonts w:hint="eastAsia" w:ascii="仿宋" w:hAnsi="仿宋" w:eastAsia="仿宋"/>
          <w:sz w:val="28"/>
        </w:rPr>
        <w:t>因是本年退休人员2人。</w:t>
      </w:r>
    </w:p>
    <w:p>
      <w:pPr>
        <w:autoSpaceDE w:val="0"/>
        <w:autoSpaceDN w:val="0"/>
        <w:adjustRightInd w:val="0"/>
        <w:spacing w:beforeLines="0" w:afterLines="0" w:line="560" w:lineRule="exact"/>
        <w:ind w:firstLine="606"/>
        <w:rPr>
          <w:rFonts w:hint="default" w:ascii="仿宋" w:hAnsi="仿宋" w:eastAsia="仿宋"/>
          <w:color w:val="000000"/>
          <w:sz w:val="28"/>
          <w:highlight w:val="white"/>
        </w:rPr>
      </w:pPr>
      <w:r>
        <w:rPr>
          <w:rFonts w:hint="eastAsia" w:ascii="仿宋" w:hAnsi="仿宋" w:eastAsia="仿宋"/>
          <w:color w:val="000000"/>
          <w:kern w:val="0"/>
          <w:sz w:val="28"/>
          <w:shd w:val="clear" w:color="auto" w:fill="FFFFFF"/>
        </w:rPr>
        <w:t>自然资源海洋气象等支出（类）自然资源事务（款）行政运行（项）。年初预算为 989.22万元，支出决算为1153.07万元</w:t>
      </w:r>
      <w:r>
        <w:rPr>
          <w:rFonts w:hint="default" w:ascii="仿宋" w:hAnsi="仿宋" w:eastAsia="仿宋"/>
          <w:color w:val="000000"/>
          <w:kern w:val="0"/>
          <w:sz w:val="28"/>
          <w:shd w:val="clear" w:color="auto" w:fill="FFFFFF"/>
        </w:rPr>
        <w:t>,</w:t>
      </w:r>
      <w:r>
        <w:rPr>
          <w:rFonts w:hint="eastAsia" w:ascii="仿宋" w:hAnsi="仿宋" w:eastAsia="仿宋"/>
          <w:color w:val="000000"/>
          <w:kern w:val="0"/>
          <w:sz w:val="28"/>
          <w:shd w:val="clear" w:color="auto" w:fill="FFFFFF"/>
        </w:rPr>
        <w:t>完成年初预算的 116.56 %，决算数大于预算数的</w:t>
      </w:r>
      <w:r>
        <w:rPr>
          <w:rFonts w:hint="eastAsia" w:ascii="仿宋" w:hAnsi="仿宋" w:eastAsia="仿宋"/>
          <w:color w:val="000000"/>
          <w:sz w:val="28"/>
          <w:highlight w:val="white"/>
        </w:rPr>
        <w:t>主要原因是：转业士官人员经费增加，</w:t>
      </w:r>
      <w:r>
        <w:rPr>
          <w:rFonts w:hint="eastAsia" w:ascii="仿宋" w:hAnsi="仿宋" w:eastAsia="仿宋"/>
          <w:color w:val="000000"/>
          <w:sz w:val="28"/>
        </w:rPr>
        <w:t>2019年度考核奖、人员工资增加</w:t>
      </w:r>
      <w:r>
        <w:rPr>
          <w:rFonts w:hint="eastAsia" w:ascii="仿宋" w:hAnsi="仿宋" w:eastAsia="仿宋"/>
          <w:color w:val="000000"/>
          <w:sz w:val="28"/>
          <w:highlight w:val="white"/>
        </w:rPr>
        <w:t>。</w:t>
      </w:r>
    </w:p>
    <w:p>
      <w:pPr>
        <w:widowControl/>
        <w:shd w:val="clear" w:color="auto" w:fill="FFFFFF"/>
        <w:spacing w:before="100" w:beforeLines="0" w:beforeAutospacing="1" w:after="100" w:afterLines="0" w:afterAutospacing="1" w:line="560" w:lineRule="exact"/>
        <w:ind w:firstLine="600"/>
        <w:rPr>
          <w:rFonts w:hint="default" w:ascii="仿宋" w:hAnsi="仿宋" w:eastAsia="仿宋"/>
          <w:color w:val="000000"/>
          <w:kern w:val="0"/>
          <w:sz w:val="28"/>
          <w:shd w:val="clear" w:color="auto" w:fill="FFFFFF"/>
        </w:rPr>
      </w:pPr>
      <w:r>
        <w:rPr>
          <w:rFonts w:hint="eastAsia" w:ascii="仿宋" w:hAnsi="仿宋" w:eastAsia="仿宋"/>
          <w:color w:val="000000"/>
          <w:kern w:val="0"/>
          <w:sz w:val="28"/>
          <w:shd w:val="clear" w:color="auto" w:fill="FFFFFF"/>
        </w:rPr>
        <w:t>住房保障支出（类）住房改革支出（款）住房公积金（项）年初预算为97.89万元，支出决算为103.02万元</w:t>
      </w:r>
      <w:r>
        <w:rPr>
          <w:rFonts w:hint="default" w:ascii="仿宋" w:hAnsi="仿宋" w:eastAsia="仿宋"/>
          <w:color w:val="000000"/>
          <w:kern w:val="0"/>
          <w:sz w:val="28"/>
          <w:shd w:val="clear" w:color="auto" w:fill="FFFFFF"/>
        </w:rPr>
        <w:t>,</w:t>
      </w:r>
      <w:r>
        <w:rPr>
          <w:rFonts w:hint="eastAsia" w:ascii="仿宋" w:hAnsi="仿宋" w:eastAsia="仿宋"/>
          <w:color w:val="000000"/>
          <w:kern w:val="0"/>
          <w:sz w:val="28"/>
          <w:shd w:val="clear" w:color="auto" w:fill="FFFFFF"/>
        </w:rPr>
        <w:t>完成年初预算的105.24</w:t>
      </w:r>
      <w:r>
        <w:rPr>
          <w:rFonts w:hint="eastAsia" w:ascii="仿宋" w:hAnsi="仿宋" w:eastAsia="仿宋"/>
          <w:color w:val="FF0000"/>
          <w:kern w:val="0"/>
          <w:sz w:val="28"/>
          <w:shd w:val="clear" w:color="auto" w:fill="FFFFFF"/>
        </w:rPr>
        <w:t xml:space="preserve"> </w:t>
      </w:r>
      <w:r>
        <w:rPr>
          <w:rFonts w:hint="eastAsia" w:ascii="仿宋" w:hAnsi="仿宋" w:eastAsia="仿宋"/>
          <w:color w:val="000000"/>
          <w:kern w:val="0"/>
          <w:sz w:val="28"/>
          <w:shd w:val="clear" w:color="auto" w:fill="FFFFFF"/>
        </w:rPr>
        <w:t>%。决算数大于预算数的主要原因：本年公积金调整增加。</w:t>
      </w:r>
    </w:p>
    <w:p>
      <w:pPr>
        <w:autoSpaceDE w:val="0"/>
        <w:autoSpaceDN w:val="0"/>
        <w:adjustRightInd w:val="0"/>
        <w:spacing w:beforeLines="0" w:afterLines="0" w:line="560" w:lineRule="exact"/>
        <w:ind w:firstLine="594"/>
        <w:rPr>
          <w:rFonts w:hint="default" w:ascii="仿宋" w:hAnsi="仿宋" w:eastAsia="仿宋"/>
          <w:color w:val="000000"/>
          <w:sz w:val="28"/>
          <w:highlight w:val="white"/>
        </w:rPr>
      </w:pPr>
      <w:r>
        <w:rPr>
          <w:rFonts w:hint="eastAsia" w:ascii="仿宋" w:hAnsi="仿宋" w:eastAsia="仿宋"/>
          <w:b/>
          <w:color w:val="000000"/>
          <w:sz w:val="28"/>
          <w:highlight w:val="white"/>
        </w:rPr>
        <w:t>（六）一般公共预算财政拨款基本支出决算情况说明</w:t>
      </w:r>
    </w:p>
    <w:p>
      <w:pPr>
        <w:autoSpaceDE w:val="0"/>
        <w:autoSpaceDN w:val="0"/>
        <w:adjustRightInd w:val="0"/>
        <w:spacing w:beforeLines="0" w:afterLines="0" w:line="560" w:lineRule="exact"/>
        <w:ind w:firstLine="594"/>
        <w:rPr>
          <w:rFonts w:hint="default" w:ascii="仿宋" w:hAnsi="仿宋" w:eastAsia="仿宋"/>
          <w:color w:val="000000"/>
          <w:sz w:val="28"/>
          <w:highlight w:val="white"/>
        </w:rPr>
      </w:pPr>
      <w:r>
        <w:rPr>
          <w:rFonts w:hint="eastAsia" w:ascii="仿宋" w:hAnsi="仿宋" w:eastAsia="仿宋"/>
          <w:color w:val="000000"/>
          <w:sz w:val="28"/>
          <w:highlight w:val="white"/>
        </w:rPr>
        <w:t>2020年度一般公共预算财政拨款基本支出1,398.81万元，其中：</w:t>
      </w:r>
    </w:p>
    <w:p>
      <w:pPr>
        <w:widowControl/>
        <w:shd w:val="clear" w:color="auto" w:fill="FFFFFF"/>
        <w:spacing w:before="100" w:beforeLines="0" w:beforeAutospacing="1" w:after="100" w:afterLines="0" w:afterAutospacing="1" w:line="560" w:lineRule="exact"/>
        <w:ind w:firstLine="560" w:firstLineChars="200"/>
        <w:rPr>
          <w:rFonts w:hint="default" w:ascii="仿宋" w:hAnsi="仿宋" w:eastAsia="仿宋"/>
          <w:color w:val="000000"/>
          <w:kern w:val="0"/>
          <w:sz w:val="28"/>
        </w:rPr>
      </w:pPr>
      <w:r>
        <w:rPr>
          <w:rFonts w:hint="eastAsia" w:ascii="仿宋" w:hAnsi="仿宋" w:eastAsia="仿宋"/>
          <w:color w:val="000000"/>
          <w:sz w:val="28"/>
          <w:highlight w:val="white"/>
        </w:rPr>
        <w:t>人员经费1,154.85万元，主要包括：基本工资、津贴补贴、奖金、</w:t>
      </w:r>
      <w:r>
        <w:rPr>
          <w:rFonts w:hint="eastAsia" w:ascii="仿宋" w:hAnsi="仿宋" w:eastAsia="仿宋"/>
          <w:color w:val="000000"/>
          <w:kern w:val="0"/>
          <w:sz w:val="28"/>
          <w:shd w:val="clear" w:color="auto" w:fill="FFFFFF"/>
        </w:rPr>
        <w:t>机关事业单位基本养老保险缴费、职业年金缴费、职工基本医疗保险缴费、公务员医疗补助缴费、其他社会保障缴费、住房公积金、其他工资福利支出、生活补助、医疗费补助、对其他个人和家庭的补助；</w:t>
      </w:r>
    </w:p>
    <w:p>
      <w:pPr>
        <w:widowControl/>
        <w:shd w:val="clear" w:color="auto" w:fill="FFFFFF"/>
        <w:spacing w:before="100" w:beforeLines="0" w:beforeAutospacing="1" w:after="100" w:afterLines="0" w:afterAutospacing="1" w:line="560" w:lineRule="exact"/>
        <w:ind w:firstLine="600"/>
        <w:rPr>
          <w:rFonts w:hint="default" w:ascii="仿宋" w:hAnsi="仿宋" w:eastAsia="仿宋"/>
          <w:color w:val="000000"/>
          <w:kern w:val="0"/>
          <w:sz w:val="28"/>
        </w:rPr>
      </w:pPr>
      <w:r>
        <w:rPr>
          <w:rFonts w:hint="eastAsia" w:ascii="仿宋" w:hAnsi="仿宋" w:eastAsia="仿宋"/>
          <w:color w:val="000000"/>
          <w:sz w:val="28"/>
          <w:highlight w:val="white"/>
        </w:rPr>
        <w:t>公用经费243.96万元，主要包括：办公费、印刷费、</w:t>
      </w:r>
      <w:r>
        <w:rPr>
          <w:rFonts w:hint="eastAsia" w:ascii="仿宋" w:hAnsi="仿宋" w:eastAsia="仿宋"/>
          <w:color w:val="000000"/>
          <w:kern w:val="0"/>
          <w:sz w:val="28"/>
          <w:shd w:val="clear" w:color="auto" w:fill="FFFFFF"/>
        </w:rPr>
        <w:t>邮电费、差旅费、维修（护）费、培训费、劳务费、委托业务费、工会经费、福利费、税金及附加费用、其他商品和服务支出、办公设备购置、专用设备购置。</w:t>
      </w:r>
    </w:p>
    <w:p>
      <w:pPr>
        <w:autoSpaceDE w:val="0"/>
        <w:autoSpaceDN w:val="0"/>
        <w:adjustRightInd w:val="0"/>
        <w:spacing w:beforeLines="0" w:afterLines="0" w:line="560" w:lineRule="exact"/>
        <w:ind w:firstLine="594"/>
        <w:rPr>
          <w:rFonts w:hint="default" w:ascii="仿宋" w:hAnsi="仿宋" w:eastAsia="仿宋"/>
          <w:b/>
          <w:color w:val="FF0000"/>
          <w:sz w:val="28"/>
          <w:highlight w:val="white"/>
        </w:rPr>
      </w:pPr>
      <w:r>
        <w:rPr>
          <w:rFonts w:hint="eastAsia" w:ascii="仿宋" w:hAnsi="仿宋" w:eastAsia="仿宋"/>
          <w:b/>
          <w:color w:val="000000"/>
          <w:sz w:val="28"/>
          <w:highlight w:val="white"/>
        </w:rPr>
        <w:t>（七）政府性基金预算财政拨款支出</w:t>
      </w:r>
      <w:r>
        <w:rPr>
          <w:rFonts w:hint="eastAsia" w:ascii="仿宋" w:hAnsi="仿宋" w:eastAsia="仿宋"/>
          <w:b/>
          <w:color w:val="000000"/>
          <w:sz w:val="28"/>
          <w:highlight w:val="white"/>
          <w:lang w:val="zh-CN"/>
        </w:rPr>
        <w:t>决算</w:t>
      </w:r>
      <w:r>
        <w:rPr>
          <w:rFonts w:hint="eastAsia" w:ascii="仿宋" w:hAnsi="仿宋" w:eastAsia="仿宋"/>
          <w:b/>
          <w:color w:val="000000"/>
          <w:sz w:val="28"/>
          <w:highlight w:val="white"/>
        </w:rPr>
        <w:t>总体情况说明</w:t>
      </w:r>
    </w:p>
    <w:p>
      <w:pPr>
        <w:autoSpaceDE w:val="0"/>
        <w:autoSpaceDN w:val="0"/>
        <w:adjustRightInd w:val="0"/>
        <w:spacing w:beforeLines="0" w:afterLines="0" w:line="560" w:lineRule="exact"/>
        <w:ind w:firstLine="606"/>
        <w:rPr>
          <w:rFonts w:hint="default" w:ascii="仿宋" w:hAnsi="仿宋" w:eastAsia="仿宋"/>
          <w:color w:val="000000"/>
          <w:sz w:val="28"/>
          <w:highlight w:val="white"/>
        </w:rPr>
      </w:pPr>
      <w:r>
        <w:rPr>
          <w:rFonts w:hint="eastAsia" w:ascii="仿宋" w:hAnsi="仿宋" w:eastAsia="仿宋"/>
          <w:b/>
          <w:color w:val="000000"/>
          <w:sz w:val="28"/>
          <w:highlight w:val="white"/>
        </w:rPr>
        <w:t>1.政府性基金预算财政拨款支出决算总体情况。</w:t>
      </w:r>
    </w:p>
    <w:p>
      <w:pPr>
        <w:autoSpaceDE w:val="0"/>
        <w:autoSpaceDN w:val="0"/>
        <w:adjustRightInd w:val="0"/>
        <w:spacing w:beforeLines="0" w:afterLines="0" w:line="560" w:lineRule="exact"/>
        <w:ind w:firstLine="606"/>
        <w:rPr>
          <w:rFonts w:hint="default" w:ascii="仿宋" w:hAnsi="仿宋" w:eastAsia="仿宋"/>
          <w:b/>
          <w:color w:val="000000"/>
          <w:sz w:val="28"/>
          <w:highlight w:val="white"/>
        </w:rPr>
      </w:pPr>
      <w:r>
        <w:rPr>
          <w:rFonts w:hint="eastAsia" w:ascii="仿宋" w:hAnsi="仿宋" w:eastAsia="仿宋"/>
          <w:color w:val="000000"/>
          <w:sz w:val="28"/>
          <w:highlight w:val="white"/>
        </w:rPr>
        <w:t>2020年度政府性基金预算财政拨款支出127.22万元，占本年支出合计的8.34%。与2019年相比，政府性基金预算财政拨款支出增加12.42万元，增长10.82%。主要原因是：档案室扩建。</w:t>
      </w:r>
    </w:p>
    <w:p>
      <w:pPr>
        <w:autoSpaceDE w:val="0"/>
        <w:autoSpaceDN w:val="0"/>
        <w:adjustRightInd w:val="0"/>
        <w:spacing w:beforeLines="0" w:afterLines="0" w:line="560" w:lineRule="exact"/>
        <w:ind w:firstLine="606"/>
        <w:rPr>
          <w:rFonts w:hint="default" w:ascii="仿宋" w:hAnsi="仿宋" w:eastAsia="仿宋"/>
          <w:color w:val="000000"/>
          <w:sz w:val="28"/>
          <w:highlight w:val="white"/>
        </w:rPr>
      </w:pPr>
      <w:r>
        <w:rPr>
          <w:rFonts w:hint="eastAsia" w:ascii="仿宋" w:hAnsi="仿宋" w:eastAsia="仿宋"/>
          <w:b/>
          <w:color w:val="000000"/>
          <w:sz w:val="28"/>
          <w:highlight w:val="white"/>
        </w:rPr>
        <w:t>2.政府性基金预算财政拨款支出决算结构情况。</w:t>
      </w:r>
    </w:p>
    <w:p>
      <w:pPr>
        <w:autoSpaceDE w:val="0"/>
        <w:autoSpaceDN w:val="0"/>
        <w:adjustRightInd w:val="0"/>
        <w:spacing w:beforeLines="0" w:afterLines="0" w:line="560" w:lineRule="exact"/>
        <w:ind w:firstLine="606"/>
        <w:rPr>
          <w:rFonts w:hint="default" w:ascii="仿宋" w:hAnsi="仿宋" w:eastAsia="仿宋"/>
          <w:b/>
          <w:color w:val="000000"/>
          <w:sz w:val="28"/>
          <w:highlight w:val="white"/>
        </w:rPr>
      </w:pPr>
      <w:r>
        <w:rPr>
          <w:rFonts w:hint="eastAsia" w:ascii="仿宋" w:hAnsi="仿宋" w:eastAsia="仿宋"/>
          <w:color w:val="000000"/>
          <w:sz w:val="28"/>
          <w:highlight w:val="white"/>
        </w:rPr>
        <w:t>2020年度政府性基金预算财政拨款支出127.22万元，主要用于以下方面：科学技术（类）支出</w:t>
      </w:r>
      <w:r>
        <w:rPr>
          <w:rFonts w:hint="default" w:ascii="仿宋" w:hAnsi="仿宋" w:eastAsia="仿宋"/>
          <w:sz w:val="28"/>
          <w:highlight w:val="white"/>
          <w:lang w:val="zh-CN"/>
        </w:rPr>
        <w:t>0</w:t>
      </w:r>
      <w:r>
        <w:rPr>
          <w:rFonts w:hint="eastAsia" w:ascii="仿宋" w:hAnsi="仿宋" w:eastAsia="仿宋"/>
          <w:color w:val="000000"/>
          <w:sz w:val="28"/>
          <w:highlight w:val="white"/>
        </w:rPr>
        <w:t>万元</w:t>
      </w:r>
      <w:r>
        <w:rPr>
          <w:rFonts w:hint="default" w:ascii="仿宋" w:hAnsi="仿宋" w:eastAsia="仿宋"/>
          <w:color w:val="000000"/>
          <w:sz w:val="28"/>
          <w:highlight w:val="white"/>
        </w:rPr>
        <w:t>,</w:t>
      </w:r>
      <w:r>
        <w:rPr>
          <w:rFonts w:hint="eastAsia" w:ascii="仿宋" w:hAnsi="仿宋" w:eastAsia="仿宋"/>
          <w:color w:val="000000"/>
          <w:sz w:val="28"/>
          <w:highlight w:val="white"/>
        </w:rPr>
        <w:t>占0%；文化旅游体育与传媒（类）支出</w:t>
      </w:r>
      <w:r>
        <w:rPr>
          <w:rFonts w:hint="default" w:ascii="仿宋" w:hAnsi="仿宋" w:eastAsia="仿宋"/>
          <w:sz w:val="28"/>
          <w:highlight w:val="white"/>
          <w:lang w:val="zh-CN"/>
        </w:rPr>
        <w:t>0</w:t>
      </w:r>
      <w:r>
        <w:rPr>
          <w:rFonts w:hint="eastAsia" w:ascii="仿宋" w:hAnsi="仿宋" w:eastAsia="仿宋"/>
          <w:color w:val="000000"/>
          <w:sz w:val="28"/>
          <w:highlight w:val="white"/>
        </w:rPr>
        <w:t>万元</w:t>
      </w:r>
      <w:r>
        <w:rPr>
          <w:rFonts w:hint="default" w:ascii="仿宋" w:hAnsi="仿宋" w:eastAsia="仿宋"/>
          <w:color w:val="000000"/>
          <w:sz w:val="28"/>
          <w:highlight w:val="white"/>
        </w:rPr>
        <w:t>,</w:t>
      </w:r>
      <w:r>
        <w:rPr>
          <w:rFonts w:hint="eastAsia" w:ascii="仿宋" w:hAnsi="仿宋" w:eastAsia="仿宋"/>
          <w:color w:val="000000"/>
          <w:sz w:val="28"/>
          <w:highlight w:val="white"/>
        </w:rPr>
        <w:t>占0%；社会保障和就业（类）支出</w:t>
      </w:r>
      <w:r>
        <w:rPr>
          <w:rFonts w:hint="default" w:ascii="仿宋" w:hAnsi="仿宋" w:eastAsia="仿宋"/>
          <w:sz w:val="28"/>
          <w:highlight w:val="white"/>
          <w:lang w:val="zh-CN"/>
        </w:rPr>
        <w:t>0</w:t>
      </w:r>
      <w:r>
        <w:rPr>
          <w:rFonts w:hint="eastAsia" w:ascii="仿宋" w:hAnsi="仿宋" w:eastAsia="仿宋"/>
          <w:color w:val="000000"/>
          <w:sz w:val="28"/>
          <w:highlight w:val="white"/>
        </w:rPr>
        <w:t>万元</w:t>
      </w:r>
      <w:r>
        <w:rPr>
          <w:rFonts w:hint="default" w:ascii="仿宋" w:hAnsi="仿宋" w:eastAsia="仿宋"/>
          <w:color w:val="000000"/>
          <w:sz w:val="28"/>
          <w:highlight w:val="white"/>
        </w:rPr>
        <w:t>,</w:t>
      </w:r>
      <w:r>
        <w:rPr>
          <w:rFonts w:hint="eastAsia" w:ascii="仿宋" w:hAnsi="仿宋" w:eastAsia="仿宋"/>
          <w:color w:val="000000"/>
          <w:sz w:val="28"/>
          <w:highlight w:val="white"/>
        </w:rPr>
        <w:t>占0%；节能环保（类）支出</w:t>
      </w:r>
      <w:r>
        <w:rPr>
          <w:rFonts w:hint="default" w:ascii="仿宋" w:hAnsi="仿宋" w:eastAsia="仿宋"/>
          <w:sz w:val="28"/>
          <w:highlight w:val="white"/>
          <w:lang w:val="zh-CN"/>
        </w:rPr>
        <w:t>0</w:t>
      </w:r>
      <w:r>
        <w:rPr>
          <w:rFonts w:hint="eastAsia" w:ascii="仿宋" w:hAnsi="仿宋" w:eastAsia="仿宋"/>
          <w:color w:val="000000"/>
          <w:sz w:val="28"/>
          <w:highlight w:val="white"/>
        </w:rPr>
        <w:t>万元</w:t>
      </w:r>
      <w:r>
        <w:rPr>
          <w:rFonts w:hint="default" w:ascii="仿宋" w:hAnsi="仿宋" w:eastAsia="仿宋"/>
          <w:color w:val="000000"/>
          <w:sz w:val="28"/>
          <w:highlight w:val="white"/>
        </w:rPr>
        <w:t>,</w:t>
      </w:r>
      <w:r>
        <w:rPr>
          <w:rFonts w:hint="eastAsia" w:ascii="仿宋" w:hAnsi="仿宋" w:eastAsia="仿宋"/>
          <w:color w:val="000000"/>
          <w:sz w:val="28"/>
          <w:highlight w:val="white"/>
        </w:rPr>
        <w:t>占0%；城乡社区（类）支出</w:t>
      </w:r>
      <w:r>
        <w:rPr>
          <w:rFonts w:hint="eastAsia" w:ascii="仿宋" w:hAnsi="仿宋" w:eastAsia="仿宋"/>
          <w:sz w:val="28"/>
          <w:highlight w:val="white"/>
          <w:lang w:val="zh-CN"/>
        </w:rPr>
        <w:t>127.22</w:t>
      </w:r>
      <w:r>
        <w:rPr>
          <w:rFonts w:hint="eastAsia" w:ascii="仿宋" w:hAnsi="仿宋" w:eastAsia="仿宋"/>
          <w:color w:val="000000"/>
          <w:sz w:val="28"/>
          <w:highlight w:val="white"/>
        </w:rPr>
        <w:t>万元</w:t>
      </w:r>
      <w:r>
        <w:rPr>
          <w:rFonts w:hint="default" w:ascii="仿宋" w:hAnsi="仿宋" w:eastAsia="仿宋"/>
          <w:color w:val="000000"/>
          <w:sz w:val="28"/>
          <w:highlight w:val="white"/>
        </w:rPr>
        <w:t>,</w:t>
      </w:r>
      <w:r>
        <w:rPr>
          <w:rFonts w:hint="eastAsia" w:ascii="仿宋" w:hAnsi="仿宋" w:eastAsia="仿宋"/>
          <w:color w:val="000000"/>
          <w:sz w:val="28"/>
          <w:highlight w:val="white"/>
        </w:rPr>
        <w:t>占100%；农林水（类）支出</w:t>
      </w:r>
      <w:r>
        <w:rPr>
          <w:rFonts w:hint="default" w:ascii="仿宋" w:hAnsi="仿宋" w:eastAsia="仿宋"/>
          <w:sz w:val="28"/>
          <w:highlight w:val="white"/>
          <w:lang w:val="zh-CN"/>
        </w:rPr>
        <w:t>0</w:t>
      </w:r>
      <w:r>
        <w:rPr>
          <w:rFonts w:hint="eastAsia" w:ascii="仿宋" w:hAnsi="仿宋" w:eastAsia="仿宋"/>
          <w:color w:val="000000"/>
          <w:sz w:val="28"/>
          <w:highlight w:val="white"/>
        </w:rPr>
        <w:t>万元</w:t>
      </w:r>
      <w:r>
        <w:rPr>
          <w:rFonts w:hint="default" w:ascii="仿宋" w:hAnsi="仿宋" w:eastAsia="仿宋"/>
          <w:color w:val="000000"/>
          <w:sz w:val="28"/>
          <w:highlight w:val="white"/>
        </w:rPr>
        <w:t>,</w:t>
      </w:r>
      <w:r>
        <w:rPr>
          <w:rFonts w:hint="eastAsia" w:ascii="仿宋" w:hAnsi="仿宋" w:eastAsia="仿宋"/>
          <w:color w:val="000000"/>
          <w:sz w:val="28"/>
          <w:highlight w:val="white"/>
        </w:rPr>
        <w:t>占0%；交通运输（类）支出</w:t>
      </w:r>
      <w:r>
        <w:rPr>
          <w:rFonts w:hint="default" w:ascii="仿宋" w:hAnsi="仿宋" w:eastAsia="仿宋"/>
          <w:sz w:val="28"/>
          <w:highlight w:val="white"/>
          <w:lang w:val="zh-CN"/>
        </w:rPr>
        <w:t>0</w:t>
      </w:r>
      <w:r>
        <w:rPr>
          <w:rFonts w:hint="eastAsia" w:ascii="仿宋" w:hAnsi="仿宋" w:eastAsia="仿宋"/>
          <w:color w:val="000000"/>
          <w:sz w:val="28"/>
          <w:highlight w:val="white"/>
        </w:rPr>
        <w:t>万元</w:t>
      </w:r>
      <w:r>
        <w:rPr>
          <w:rFonts w:hint="default" w:ascii="仿宋" w:hAnsi="仿宋" w:eastAsia="仿宋"/>
          <w:color w:val="000000"/>
          <w:sz w:val="28"/>
          <w:highlight w:val="white"/>
        </w:rPr>
        <w:t>,</w:t>
      </w:r>
      <w:r>
        <w:rPr>
          <w:rFonts w:hint="eastAsia" w:ascii="仿宋" w:hAnsi="仿宋" w:eastAsia="仿宋"/>
          <w:color w:val="000000"/>
          <w:sz w:val="28"/>
          <w:highlight w:val="white"/>
        </w:rPr>
        <w:t>占0%；资源勘探信息等（类）支出</w:t>
      </w:r>
      <w:r>
        <w:rPr>
          <w:rFonts w:hint="default" w:ascii="仿宋" w:hAnsi="仿宋" w:eastAsia="仿宋"/>
          <w:sz w:val="28"/>
          <w:highlight w:val="white"/>
          <w:lang w:val="zh-CN"/>
        </w:rPr>
        <w:t>0</w:t>
      </w:r>
      <w:r>
        <w:rPr>
          <w:rFonts w:hint="eastAsia" w:ascii="仿宋" w:hAnsi="仿宋" w:eastAsia="仿宋"/>
          <w:color w:val="000000"/>
          <w:sz w:val="28"/>
          <w:highlight w:val="white"/>
        </w:rPr>
        <w:t>万元</w:t>
      </w:r>
      <w:r>
        <w:rPr>
          <w:rFonts w:hint="default" w:ascii="仿宋" w:hAnsi="仿宋" w:eastAsia="仿宋"/>
          <w:color w:val="000000"/>
          <w:sz w:val="28"/>
          <w:highlight w:val="white"/>
        </w:rPr>
        <w:t>,</w:t>
      </w:r>
      <w:r>
        <w:rPr>
          <w:rFonts w:hint="eastAsia" w:ascii="仿宋" w:hAnsi="仿宋" w:eastAsia="仿宋"/>
          <w:color w:val="000000"/>
          <w:sz w:val="28"/>
          <w:highlight w:val="white"/>
        </w:rPr>
        <w:t>占0%；金融（类）支出</w:t>
      </w:r>
      <w:r>
        <w:rPr>
          <w:rFonts w:hint="default" w:ascii="仿宋" w:hAnsi="仿宋" w:eastAsia="仿宋"/>
          <w:sz w:val="28"/>
          <w:highlight w:val="white"/>
          <w:lang w:val="zh-CN"/>
        </w:rPr>
        <w:t>0</w:t>
      </w:r>
      <w:r>
        <w:rPr>
          <w:rFonts w:hint="eastAsia" w:ascii="仿宋" w:hAnsi="仿宋" w:eastAsia="仿宋"/>
          <w:color w:val="000000"/>
          <w:sz w:val="28"/>
          <w:highlight w:val="white"/>
        </w:rPr>
        <w:t>万元</w:t>
      </w:r>
      <w:r>
        <w:rPr>
          <w:rFonts w:hint="default" w:ascii="仿宋" w:hAnsi="仿宋" w:eastAsia="仿宋"/>
          <w:color w:val="000000"/>
          <w:sz w:val="28"/>
          <w:highlight w:val="white"/>
        </w:rPr>
        <w:t>,</w:t>
      </w:r>
      <w:r>
        <w:rPr>
          <w:rFonts w:hint="eastAsia" w:ascii="仿宋" w:hAnsi="仿宋" w:eastAsia="仿宋"/>
          <w:color w:val="000000"/>
          <w:sz w:val="28"/>
          <w:highlight w:val="white"/>
        </w:rPr>
        <w:t>占0%；其他（类）支出</w:t>
      </w:r>
      <w:r>
        <w:rPr>
          <w:rFonts w:hint="default" w:ascii="仿宋" w:hAnsi="仿宋" w:eastAsia="仿宋"/>
          <w:sz w:val="28"/>
          <w:highlight w:val="white"/>
          <w:lang w:val="zh-CN"/>
        </w:rPr>
        <w:t>0</w:t>
      </w:r>
      <w:r>
        <w:rPr>
          <w:rFonts w:hint="eastAsia" w:ascii="仿宋" w:hAnsi="仿宋" w:eastAsia="仿宋"/>
          <w:color w:val="000000"/>
          <w:sz w:val="28"/>
          <w:highlight w:val="white"/>
        </w:rPr>
        <w:t>万元</w:t>
      </w:r>
      <w:r>
        <w:rPr>
          <w:rFonts w:hint="default" w:ascii="仿宋" w:hAnsi="仿宋" w:eastAsia="仿宋"/>
          <w:color w:val="000000"/>
          <w:sz w:val="28"/>
          <w:highlight w:val="white"/>
        </w:rPr>
        <w:t>,</w:t>
      </w:r>
      <w:r>
        <w:rPr>
          <w:rFonts w:hint="eastAsia" w:ascii="仿宋" w:hAnsi="仿宋" w:eastAsia="仿宋"/>
          <w:color w:val="000000"/>
          <w:sz w:val="28"/>
          <w:highlight w:val="white"/>
        </w:rPr>
        <w:t>占0%；债务付息（类）支出</w:t>
      </w:r>
      <w:r>
        <w:rPr>
          <w:rFonts w:hint="default" w:ascii="仿宋" w:hAnsi="仿宋" w:eastAsia="仿宋"/>
          <w:sz w:val="28"/>
          <w:highlight w:val="white"/>
          <w:lang w:val="zh-CN"/>
        </w:rPr>
        <w:t>0</w:t>
      </w:r>
      <w:r>
        <w:rPr>
          <w:rFonts w:hint="eastAsia" w:ascii="仿宋" w:hAnsi="仿宋" w:eastAsia="仿宋"/>
          <w:color w:val="000000"/>
          <w:sz w:val="28"/>
          <w:highlight w:val="white"/>
        </w:rPr>
        <w:t>万元</w:t>
      </w:r>
      <w:r>
        <w:rPr>
          <w:rFonts w:hint="default" w:ascii="仿宋" w:hAnsi="仿宋" w:eastAsia="仿宋"/>
          <w:color w:val="000000"/>
          <w:sz w:val="28"/>
          <w:highlight w:val="white"/>
        </w:rPr>
        <w:t>,</w:t>
      </w:r>
      <w:r>
        <w:rPr>
          <w:rFonts w:hint="eastAsia" w:ascii="仿宋" w:hAnsi="仿宋" w:eastAsia="仿宋"/>
          <w:color w:val="000000"/>
          <w:sz w:val="28"/>
          <w:highlight w:val="white"/>
        </w:rPr>
        <w:t>占0%；抗疫特别国债安排（类）支出</w:t>
      </w:r>
      <w:r>
        <w:rPr>
          <w:rFonts w:hint="default" w:ascii="仿宋" w:hAnsi="仿宋" w:eastAsia="仿宋"/>
          <w:sz w:val="28"/>
          <w:highlight w:val="white"/>
          <w:lang w:val="zh-CN"/>
        </w:rPr>
        <w:t>0</w:t>
      </w:r>
      <w:r>
        <w:rPr>
          <w:rFonts w:hint="eastAsia" w:ascii="仿宋" w:hAnsi="仿宋" w:eastAsia="仿宋"/>
          <w:color w:val="000000"/>
          <w:sz w:val="28"/>
          <w:highlight w:val="white"/>
        </w:rPr>
        <w:t>万元</w:t>
      </w:r>
      <w:r>
        <w:rPr>
          <w:rFonts w:hint="default" w:ascii="仿宋" w:hAnsi="仿宋" w:eastAsia="仿宋"/>
          <w:color w:val="000000"/>
          <w:sz w:val="28"/>
          <w:highlight w:val="white"/>
        </w:rPr>
        <w:t>,</w:t>
      </w:r>
      <w:r>
        <w:rPr>
          <w:rFonts w:hint="eastAsia" w:ascii="仿宋" w:hAnsi="仿宋" w:eastAsia="仿宋"/>
          <w:color w:val="000000"/>
          <w:sz w:val="28"/>
          <w:highlight w:val="white"/>
        </w:rPr>
        <w:t>占0%。</w:t>
      </w:r>
    </w:p>
    <w:p>
      <w:pPr>
        <w:autoSpaceDE w:val="0"/>
        <w:autoSpaceDN w:val="0"/>
        <w:adjustRightInd w:val="0"/>
        <w:spacing w:beforeLines="0" w:afterLines="0" w:line="560" w:lineRule="exact"/>
        <w:ind w:firstLine="594"/>
        <w:rPr>
          <w:rFonts w:hint="default" w:ascii="仿宋" w:hAnsi="仿宋" w:eastAsia="仿宋"/>
          <w:color w:val="000000"/>
          <w:sz w:val="28"/>
          <w:highlight w:val="white"/>
        </w:rPr>
      </w:pPr>
      <w:r>
        <w:rPr>
          <w:rFonts w:hint="eastAsia" w:ascii="仿宋" w:hAnsi="仿宋" w:eastAsia="仿宋"/>
          <w:b/>
          <w:color w:val="000000"/>
          <w:sz w:val="28"/>
          <w:highlight w:val="white"/>
        </w:rPr>
        <w:t>3.政府性基金预算财政拨款支出决算具体情况。</w:t>
      </w:r>
    </w:p>
    <w:p>
      <w:pPr>
        <w:autoSpaceDE w:val="0"/>
        <w:autoSpaceDN w:val="0"/>
        <w:adjustRightInd w:val="0"/>
        <w:spacing w:beforeLines="0" w:afterLines="0" w:line="560" w:lineRule="exact"/>
        <w:ind w:firstLine="594"/>
        <w:rPr>
          <w:rFonts w:hint="default" w:ascii="仿宋" w:hAnsi="仿宋" w:eastAsia="仿宋"/>
          <w:sz w:val="28"/>
          <w:highlight w:val="white"/>
        </w:rPr>
      </w:pPr>
      <w:r>
        <w:rPr>
          <w:rFonts w:hint="eastAsia" w:ascii="仿宋" w:hAnsi="仿宋" w:eastAsia="仿宋"/>
          <w:sz w:val="28"/>
          <w:highlight w:val="white"/>
        </w:rPr>
        <w:t>2020年度</w:t>
      </w:r>
      <w:r>
        <w:rPr>
          <w:rFonts w:hint="eastAsia" w:ascii="仿宋" w:hAnsi="仿宋" w:eastAsia="仿宋"/>
          <w:color w:val="000000"/>
          <w:sz w:val="28"/>
          <w:highlight w:val="white"/>
        </w:rPr>
        <w:t>政府性基金预算</w:t>
      </w:r>
      <w:r>
        <w:rPr>
          <w:rFonts w:hint="eastAsia" w:ascii="仿宋" w:hAnsi="仿宋" w:eastAsia="仿宋"/>
          <w:sz w:val="28"/>
          <w:highlight w:val="white"/>
        </w:rPr>
        <w:t>财政拨款支出年初预算为</w:t>
      </w:r>
      <w:r>
        <w:rPr>
          <w:rFonts w:hint="eastAsia" w:ascii="仿宋" w:hAnsi="仿宋" w:eastAsia="仿宋"/>
          <w:color w:val="000000"/>
          <w:sz w:val="28"/>
          <w:highlight w:val="white"/>
        </w:rPr>
        <w:t>128.20</w:t>
      </w:r>
      <w:r>
        <w:rPr>
          <w:rFonts w:hint="eastAsia" w:ascii="仿宋" w:hAnsi="仿宋" w:eastAsia="仿宋"/>
          <w:sz w:val="28"/>
          <w:highlight w:val="white"/>
        </w:rPr>
        <w:t>万元，支出决算为</w:t>
      </w:r>
      <w:r>
        <w:rPr>
          <w:rFonts w:hint="eastAsia" w:ascii="仿宋" w:hAnsi="仿宋" w:eastAsia="仿宋"/>
          <w:color w:val="000000"/>
          <w:sz w:val="28"/>
          <w:highlight w:val="white"/>
        </w:rPr>
        <w:t>127.22万元</w:t>
      </w:r>
      <w:r>
        <w:rPr>
          <w:rFonts w:hint="default" w:ascii="仿宋" w:hAnsi="仿宋" w:eastAsia="仿宋"/>
          <w:sz w:val="28"/>
          <w:highlight w:val="white"/>
        </w:rPr>
        <w:t>,</w:t>
      </w:r>
      <w:r>
        <w:rPr>
          <w:rFonts w:hint="eastAsia" w:ascii="仿宋" w:hAnsi="仿宋" w:eastAsia="仿宋"/>
          <w:sz w:val="28"/>
          <w:highlight w:val="white"/>
        </w:rPr>
        <w:t>完成年初预算的</w:t>
      </w:r>
      <w:r>
        <w:rPr>
          <w:rFonts w:hint="eastAsia" w:ascii="仿宋" w:hAnsi="仿宋" w:eastAsia="仿宋"/>
          <w:color w:val="000000"/>
          <w:sz w:val="28"/>
          <w:highlight w:val="white"/>
        </w:rPr>
        <w:t>99.24%</w:t>
      </w:r>
      <w:r>
        <w:rPr>
          <w:rFonts w:hint="eastAsia" w:ascii="仿宋" w:hAnsi="仿宋" w:eastAsia="仿宋"/>
          <w:sz w:val="28"/>
          <w:highlight w:val="white"/>
        </w:rPr>
        <w:t>，主要原因是严格按年初预算执行。</w:t>
      </w:r>
    </w:p>
    <w:p>
      <w:pPr>
        <w:widowControl/>
        <w:shd w:val="clear" w:color="auto" w:fill="FFFFFF"/>
        <w:spacing w:before="100" w:beforeLines="0" w:beforeAutospacing="1" w:after="100" w:afterLines="0" w:afterAutospacing="1" w:line="560" w:lineRule="exact"/>
        <w:ind w:firstLine="600"/>
        <w:rPr>
          <w:rFonts w:hint="default" w:ascii="仿宋" w:hAnsi="仿宋" w:eastAsia="仿宋"/>
          <w:color w:val="000000"/>
          <w:kern w:val="0"/>
          <w:sz w:val="28"/>
        </w:rPr>
      </w:pPr>
      <w:r>
        <w:rPr>
          <w:rFonts w:hint="eastAsia" w:ascii="仿宋" w:hAnsi="仿宋" w:eastAsia="仿宋"/>
          <w:color w:val="000000"/>
          <w:kern w:val="0"/>
          <w:sz w:val="28"/>
          <w:shd w:val="clear" w:color="auto" w:fill="FFFFFF"/>
        </w:rPr>
        <w:t>城乡社区支出（类）国有土地使用权出让收入及对应专项债务收入安排的支出（款）</w:t>
      </w:r>
      <w:r>
        <w:rPr>
          <w:rFonts w:hint="eastAsia" w:ascii="仿宋" w:hAnsi="仿宋" w:eastAsia="仿宋"/>
          <w:color w:val="000000"/>
          <w:kern w:val="0"/>
          <w:sz w:val="28"/>
        </w:rPr>
        <w:t>土地出让业务支出</w:t>
      </w:r>
      <w:r>
        <w:rPr>
          <w:rFonts w:hint="eastAsia" w:ascii="仿宋" w:hAnsi="仿宋" w:eastAsia="仿宋"/>
          <w:color w:val="000000"/>
          <w:kern w:val="0"/>
          <w:sz w:val="28"/>
          <w:shd w:val="clear" w:color="auto" w:fill="FFFFFF"/>
        </w:rPr>
        <w:t>（项）。年初预算为128.20万元，支出决算为127.22万元，完成年初预算的99.24%，决算数小于预算数的主要原因</w:t>
      </w:r>
      <w:r>
        <w:rPr>
          <w:rFonts w:hint="eastAsia" w:ascii="仿宋" w:hAnsi="仿宋" w:eastAsia="仿宋"/>
          <w:sz w:val="28"/>
          <w:highlight w:val="white"/>
        </w:rPr>
        <w:t>严格按年初预算执行</w:t>
      </w:r>
      <w:r>
        <w:rPr>
          <w:rFonts w:hint="eastAsia" w:ascii="仿宋" w:hAnsi="仿宋" w:eastAsia="仿宋"/>
          <w:color w:val="000000"/>
          <w:kern w:val="0"/>
          <w:sz w:val="28"/>
          <w:shd w:val="clear" w:color="auto" w:fill="FFFFFF"/>
        </w:rPr>
        <w:t>。</w:t>
      </w:r>
    </w:p>
    <w:p>
      <w:pPr>
        <w:autoSpaceDE w:val="0"/>
        <w:autoSpaceDN w:val="0"/>
        <w:adjustRightInd w:val="0"/>
        <w:spacing w:beforeLines="0" w:afterLines="0" w:line="560" w:lineRule="exact"/>
        <w:ind w:firstLine="594"/>
        <w:rPr>
          <w:rFonts w:hint="default" w:ascii="仿宋" w:hAnsi="仿宋" w:eastAsia="仿宋"/>
          <w:b/>
          <w:color w:val="000000"/>
          <w:sz w:val="28"/>
          <w:highlight w:val="white"/>
        </w:rPr>
      </w:pPr>
      <w:r>
        <w:rPr>
          <w:rFonts w:hint="eastAsia" w:ascii="仿宋" w:hAnsi="仿宋" w:eastAsia="仿宋"/>
          <w:b/>
          <w:color w:val="000000"/>
          <w:sz w:val="28"/>
          <w:highlight w:val="white"/>
        </w:rPr>
        <w:t>（八）国有资本经营预算财政拨款支出</w:t>
      </w:r>
      <w:r>
        <w:rPr>
          <w:rFonts w:hint="eastAsia" w:ascii="仿宋" w:hAnsi="仿宋" w:eastAsia="仿宋"/>
          <w:b/>
          <w:color w:val="000000"/>
          <w:sz w:val="28"/>
          <w:highlight w:val="white"/>
          <w:lang w:val="zh-CN"/>
        </w:rPr>
        <w:t>决算</w:t>
      </w:r>
      <w:r>
        <w:rPr>
          <w:rFonts w:hint="eastAsia" w:ascii="仿宋" w:hAnsi="仿宋" w:eastAsia="仿宋"/>
          <w:b/>
          <w:color w:val="000000"/>
          <w:sz w:val="28"/>
          <w:highlight w:val="white"/>
        </w:rPr>
        <w:t>总体情况说明。</w:t>
      </w:r>
    </w:p>
    <w:p>
      <w:pPr>
        <w:widowControl/>
        <w:spacing w:beforeLines="0" w:afterLines="0" w:line="560" w:lineRule="exact"/>
        <w:ind w:firstLine="594"/>
        <w:rPr>
          <w:rFonts w:hint="default" w:ascii="仿宋" w:hAnsi="仿宋" w:eastAsia="仿宋"/>
          <w:b/>
          <w:sz w:val="28"/>
        </w:rPr>
      </w:pPr>
      <w:r>
        <w:rPr>
          <w:rFonts w:hint="eastAsia" w:ascii="仿宋" w:hAnsi="仿宋" w:eastAsia="仿宋"/>
          <w:sz w:val="28"/>
        </w:rPr>
        <w:t>本单位2020年度无国有资本经营预算财政拨款收支安排，故无相关数据。</w:t>
      </w:r>
    </w:p>
    <w:p>
      <w:pPr>
        <w:autoSpaceDE w:val="0"/>
        <w:autoSpaceDN w:val="0"/>
        <w:adjustRightInd w:val="0"/>
        <w:spacing w:beforeLines="0" w:afterLines="0" w:line="560" w:lineRule="exact"/>
        <w:ind w:firstLine="594"/>
        <w:rPr>
          <w:rFonts w:hint="default" w:ascii="仿宋" w:hAnsi="仿宋" w:eastAsia="仿宋"/>
          <w:b/>
          <w:color w:val="000000"/>
          <w:sz w:val="28"/>
          <w:highlight w:val="white"/>
        </w:rPr>
      </w:pPr>
      <w:r>
        <w:rPr>
          <w:rFonts w:hint="eastAsia" w:ascii="仿宋" w:hAnsi="仿宋" w:eastAsia="仿宋"/>
          <w:b/>
          <w:color w:val="000000"/>
          <w:sz w:val="28"/>
          <w:highlight w:val="white"/>
        </w:rPr>
        <w:t>（九）一般公共预算财政拨款</w:t>
      </w:r>
      <w:r>
        <w:rPr>
          <w:rFonts w:hint="default" w:ascii="仿宋" w:hAnsi="仿宋" w:eastAsia="仿宋"/>
          <w:b/>
          <w:color w:val="000000"/>
          <w:sz w:val="28"/>
          <w:highlight w:val="white"/>
        </w:rPr>
        <w:t>“</w:t>
      </w:r>
      <w:r>
        <w:rPr>
          <w:rFonts w:hint="eastAsia" w:ascii="仿宋" w:hAnsi="仿宋" w:eastAsia="仿宋"/>
          <w:b/>
          <w:color w:val="000000"/>
          <w:sz w:val="28"/>
          <w:highlight w:val="white"/>
        </w:rPr>
        <w:t>三公</w:t>
      </w:r>
      <w:r>
        <w:rPr>
          <w:rFonts w:hint="default" w:ascii="仿宋" w:hAnsi="仿宋" w:eastAsia="仿宋"/>
          <w:b/>
          <w:color w:val="000000"/>
          <w:sz w:val="28"/>
          <w:highlight w:val="white"/>
        </w:rPr>
        <w:t>”</w:t>
      </w:r>
      <w:r>
        <w:rPr>
          <w:rFonts w:hint="eastAsia" w:ascii="仿宋" w:hAnsi="仿宋" w:eastAsia="仿宋"/>
          <w:b/>
          <w:color w:val="000000"/>
          <w:sz w:val="28"/>
          <w:highlight w:val="white"/>
        </w:rPr>
        <w:t>经费支出决算情况说明</w:t>
      </w:r>
    </w:p>
    <w:p>
      <w:pPr>
        <w:autoSpaceDE w:val="0"/>
        <w:autoSpaceDN w:val="0"/>
        <w:adjustRightInd w:val="0"/>
        <w:spacing w:beforeLines="0" w:afterLines="0" w:line="560" w:lineRule="exact"/>
        <w:ind w:firstLine="594"/>
        <w:rPr>
          <w:rFonts w:hint="eastAsia" w:ascii="仿宋" w:hAnsi="仿宋" w:eastAsia="仿宋"/>
          <w:b/>
          <w:color w:val="000000"/>
          <w:sz w:val="28"/>
          <w:highlight w:val="white"/>
        </w:rPr>
      </w:pPr>
      <w:r>
        <w:rPr>
          <w:rFonts w:hint="eastAsia" w:ascii="仿宋" w:hAnsi="仿宋" w:eastAsia="仿宋"/>
          <w:b/>
          <w:color w:val="000000"/>
          <w:sz w:val="28"/>
          <w:highlight w:val="white"/>
        </w:rPr>
        <w:t>1.</w:t>
      </w:r>
      <w:r>
        <w:rPr>
          <w:rFonts w:hint="default" w:ascii="仿宋" w:hAnsi="仿宋" w:eastAsia="仿宋"/>
          <w:b/>
          <w:color w:val="000000"/>
          <w:sz w:val="28"/>
          <w:highlight w:val="white"/>
        </w:rPr>
        <w:t>“</w:t>
      </w:r>
      <w:r>
        <w:rPr>
          <w:rFonts w:hint="eastAsia" w:ascii="仿宋" w:hAnsi="仿宋" w:eastAsia="仿宋"/>
          <w:b/>
          <w:color w:val="000000"/>
          <w:sz w:val="28"/>
          <w:highlight w:val="white"/>
        </w:rPr>
        <w:t>三公</w:t>
      </w:r>
      <w:r>
        <w:rPr>
          <w:rFonts w:hint="default" w:ascii="仿宋" w:hAnsi="仿宋" w:eastAsia="仿宋"/>
          <w:b/>
          <w:color w:val="000000"/>
          <w:sz w:val="28"/>
          <w:highlight w:val="white"/>
        </w:rPr>
        <w:t>”</w:t>
      </w:r>
      <w:r>
        <w:rPr>
          <w:rFonts w:hint="eastAsia" w:ascii="仿宋" w:hAnsi="仿宋" w:eastAsia="仿宋"/>
          <w:b/>
          <w:color w:val="000000"/>
          <w:sz w:val="28"/>
          <w:highlight w:val="white"/>
        </w:rPr>
        <w:t xml:space="preserve">经费一般公共预算财政拨款支出决算总体情况说明。 </w:t>
      </w:r>
    </w:p>
    <w:p>
      <w:pPr>
        <w:autoSpaceDE w:val="0"/>
        <w:autoSpaceDN w:val="0"/>
        <w:adjustRightInd w:val="0"/>
        <w:spacing w:beforeLines="0" w:afterLines="0" w:line="560" w:lineRule="exact"/>
        <w:ind w:firstLine="594"/>
        <w:rPr>
          <w:rFonts w:hint="default" w:ascii="仿宋" w:hAnsi="仿宋" w:eastAsia="仿宋"/>
          <w:color w:val="000000"/>
          <w:sz w:val="28"/>
          <w:highlight w:val="white"/>
        </w:rPr>
      </w:pPr>
      <w:r>
        <w:rPr>
          <w:rFonts w:hint="eastAsia" w:ascii="仿宋" w:hAnsi="仿宋" w:eastAsia="仿宋"/>
          <w:color w:val="000000"/>
          <w:sz w:val="28"/>
          <w:highlight w:val="white"/>
        </w:rPr>
        <w:t>2020年度</w:t>
      </w:r>
      <w:r>
        <w:rPr>
          <w:rFonts w:hint="default" w:ascii="仿宋" w:hAnsi="仿宋" w:eastAsia="仿宋"/>
          <w:color w:val="000000"/>
          <w:sz w:val="28"/>
          <w:highlight w:val="white"/>
        </w:rPr>
        <w:t>“</w:t>
      </w:r>
      <w:r>
        <w:rPr>
          <w:rFonts w:hint="eastAsia" w:ascii="仿宋" w:hAnsi="仿宋" w:eastAsia="仿宋"/>
          <w:color w:val="000000"/>
          <w:sz w:val="28"/>
          <w:highlight w:val="white"/>
        </w:rPr>
        <w:t>三公</w:t>
      </w:r>
      <w:r>
        <w:rPr>
          <w:rFonts w:hint="default" w:ascii="仿宋" w:hAnsi="仿宋" w:eastAsia="仿宋"/>
          <w:color w:val="000000"/>
          <w:sz w:val="28"/>
          <w:highlight w:val="white"/>
        </w:rPr>
        <w:t>”</w:t>
      </w:r>
      <w:r>
        <w:rPr>
          <w:rFonts w:hint="eastAsia" w:ascii="仿宋" w:hAnsi="仿宋" w:eastAsia="仿宋"/>
          <w:color w:val="000000"/>
          <w:sz w:val="28"/>
          <w:highlight w:val="white"/>
        </w:rPr>
        <w:t>经费一般公共预算财政拨款支出预算为</w:t>
      </w:r>
      <w:r>
        <w:rPr>
          <w:rFonts w:hint="default" w:ascii="仿宋" w:hAnsi="仿宋" w:eastAsia="仿宋"/>
          <w:color w:val="000000"/>
          <w:sz w:val="28"/>
          <w:highlight w:val="white"/>
        </w:rPr>
        <w:t>0</w:t>
      </w:r>
      <w:r>
        <w:rPr>
          <w:rFonts w:hint="eastAsia" w:ascii="仿宋" w:hAnsi="仿宋" w:eastAsia="仿宋"/>
          <w:color w:val="000000"/>
          <w:sz w:val="28"/>
          <w:highlight w:val="white"/>
        </w:rPr>
        <w:t>万元，支出决算为</w:t>
      </w:r>
      <w:r>
        <w:rPr>
          <w:rFonts w:hint="default" w:ascii="仿宋" w:hAnsi="仿宋" w:eastAsia="仿宋"/>
          <w:color w:val="000000"/>
          <w:sz w:val="28"/>
          <w:highlight w:val="white"/>
        </w:rPr>
        <w:t>0</w:t>
      </w:r>
      <w:r>
        <w:rPr>
          <w:rFonts w:hint="eastAsia" w:ascii="仿宋" w:hAnsi="仿宋" w:eastAsia="仿宋"/>
          <w:color w:val="000000"/>
          <w:sz w:val="28"/>
          <w:highlight w:val="white"/>
        </w:rPr>
        <w:t>万元，完成预算的0%。2020年度</w:t>
      </w:r>
      <w:r>
        <w:rPr>
          <w:rFonts w:hint="default" w:ascii="仿宋" w:hAnsi="仿宋" w:eastAsia="仿宋"/>
          <w:color w:val="000000"/>
          <w:sz w:val="28"/>
          <w:highlight w:val="white"/>
        </w:rPr>
        <w:t>“</w:t>
      </w:r>
      <w:r>
        <w:rPr>
          <w:rFonts w:hint="eastAsia" w:ascii="仿宋" w:hAnsi="仿宋" w:eastAsia="仿宋"/>
          <w:color w:val="000000"/>
          <w:sz w:val="28"/>
          <w:highlight w:val="white"/>
        </w:rPr>
        <w:t>三公</w:t>
      </w:r>
      <w:r>
        <w:rPr>
          <w:rFonts w:hint="default" w:ascii="仿宋" w:hAnsi="仿宋" w:eastAsia="仿宋"/>
          <w:color w:val="000000"/>
          <w:sz w:val="28"/>
          <w:highlight w:val="white"/>
        </w:rPr>
        <w:t>”</w:t>
      </w:r>
      <w:r>
        <w:rPr>
          <w:rFonts w:hint="eastAsia" w:ascii="仿宋" w:hAnsi="仿宋" w:eastAsia="仿宋"/>
          <w:color w:val="000000"/>
          <w:sz w:val="28"/>
          <w:highlight w:val="white"/>
        </w:rPr>
        <w:t>经费支出决算数等于预算数的主要原因是无支出。</w:t>
      </w:r>
    </w:p>
    <w:p>
      <w:pPr>
        <w:autoSpaceDE w:val="0"/>
        <w:autoSpaceDN w:val="0"/>
        <w:adjustRightInd w:val="0"/>
        <w:spacing w:beforeLines="0" w:afterLines="0" w:line="560" w:lineRule="exact"/>
        <w:ind w:firstLine="594"/>
        <w:rPr>
          <w:rFonts w:hint="default" w:ascii="仿宋" w:hAnsi="仿宋" w:eastAsia="仿宋"/>
          <w:b/>
          <w:color w:val="000000"/>
          <w:sz w:val="28"/>
          <w:highlight w:val="white"/>
        </w:rPr>
      </w:pPr>
      <w:r>
        <w:rPr>
          <w:rFonts w:hint="eastAsia" w:ascii="仿宋" w:hAnsi="仿宋" w:eastAsia="仿宋"/>
          <w:b/>
          <w:color w:val="000000"/>
          <w:sz w:val="28"/>
          <w:highlight w:val="white"/>
        </w:rPr>
        <w:t>2.</w:t>
      </w:r>
      <w:r>
        <w:rPr>
          <w:rFonts w:hint="default" w:ascii="仿宋" w:hAnsi="仿宋" w:eastAsia="仿宋"/>
          <w:b/>
          <w:color w:val="000000"/>
          <w:sz w:val="28"/>
          <w:highlight w:val="white"/>
        </w:rPr>
        <w:t>“</w:t>
      </w:r>
      <w:r>
        <w:rPr>
          <w:rFonts w:hint="eastAsia" w:ascii="仿宋" w:hAnsi="仿宋" w:eastAsia="仿宋"/>
          <w:b/>
          <w:color w:val="000000"/>
          <w:sz w:val="28"/>
          <w:highlight w:val="white"/>
        </w:rPr>
        <w:t>三公</w:t>
      </w:r>
      <w:r>
        <w:rPr>
          <w:rFonts w:hint="default" w:ascii="仿宋" w:hAnsi="仿宋" w:eastAsia="仿宋"/>
          <w:b/>
          <w:color w:val="000000"/>
          <w:sz w:val="28"/>
          <w:highlight w:val="white"/>
        </w:rPr>
        <w:t>”</w:t>
      </w:r>
      <w:r>
        <w:rPr>
          <w:rFonts w:hint="eastAsia" w:ascii="仿宋" w:hAnsi="仿宋" w:eastAsia="仿宋"/>
          <w:b/>
          <w:color w:val="000000"/>
          <w:sz w:val="28"/>
          <w:highlight w:val="white"/>
        </w:rPr>
        <w:t>经费一般公共预算财政拨款支出决算具体情况说明。</w:t>
      </w:r>
    </w:p>
    <w:p>
      <w:pPr>
        <w:autoSpaceDE w:val="0"/>
        <w:autoSpaceDN w:val="0"/>
        <w:adjustRightInd w:val="0"/>
        <w:spacing w:beforeLines="0" w:afterLines="0" w:line="560" w:lineRule="exact"/>
        <w:ind w:firstLine="594"/>
        <w:rPr>
          <w:rFonts w:hint="default" w:ascii="仿宋" w:hAnsi="仿宋" w:eastAsia="仿宋"/>
          <w:color w:val="FF0000"/>
          <w:sz w:val="28"/>
          <w:highlight w:val="white"/>
        </w:rPr>
      </w:pPr>
      <w:r>
        <w:rPr>
          <w:rFonts w:hint="eastAsia" w:ascii="仿宋" w:hAnsi="仿宋" w:eastAsia="仿宋"/>
          <w:color w:val="000000"/>
          <w:sz w:val="28"/>
          <w:highlight w:val="white"/>
        </w:rPr>
        <w:t>2020年度</w:t>
      </w:r>
      <w:r>
        <w:rPr>
          <w:rFonts w:hint="default" w:ascii="仿宋" w:hAnsi="仿宋" w:eastAsia="仿宋"/>
          <w:color w:val="000000"/>
          <w:sz w:val="28"/>
          <w:highlight w:val="white"/>
        </w:rPr>
        <w:t>“</w:t>
      </w:r>
      <w:r>
        <w:rPr>
          <w:rFonts w:hint="eastAsia" w:ascii="仿宋" w:hAnsi="仿宋" w:eastAsia="仿宋"/>
          <w:color w:val="000000"/>
          <w:sz w:val="28"/>
          <w:highlight w:val="white"/>
        </w:rPr>
        <w:t>三公</w:t>
      </w:r>
      <w:r>
        <w:rPr>
          <w:rFonts w:hint="default" w:ascii="仿宋" w:hAnsi="仿宋" w:eastAsia="仿宋"/>
          <w:color w:val="000000"/>
          <w:sz w:val="28"/>
          <w:highlight w:val="white"/>
        </w:rPr>
        <w:t>”</w:t>
      </w:r>
      <w:r>
        <w:rPr>
          <w:rFonts w:hint="eastAsia" w:ascii="仿宋" w:hAnsi="仿宋" w:eastAsia="仿宋"/>
          <w:color w:val="000000"/>
          <w:sz w:val="28"/>
          <w:highlight w:val="white"/>
        </w:rPr>
        <w:t>经费一般公共预算财政拨款支出决算中，因公出国（境）费用支出决算为</w:t>
      </w:r>
      <w:r>
        <w:rPr>
          <w:rFonts w:hint="default" w:ascii="仿宋" w:hAnsi="仿宋" w:eastAsia="仿宋"/>
          <w:color w:val="000000"/>
          <w:sz w:val="28"/>
          <w:highlight w:val="white"/>
        </w:rPr>
        <w:t>0</w:t>
      </w:r>
      <w:r>
        <w:rPr>
          <w:rFonts w:hint="eastAsia" w:ascii="仿宋" w:hAnsi="仿宋" w:eastAsia="仿宋"/>
          <w:color w:val="000000"/>
          <w:sz w:val="28"/>
          <w:highlight w:val="white"/>
        </w:rPr>
        <w:t>万元，占0%，与2019年度相比，增加/减少</w:t>
      </w:r>
      <w:r>
        <w:rPr>
          <w:rFonts w:hint="default" w:ascii="仿宋" w:hAnsi="仿宋" w:eastAsia="仿宋"/>
          <w:color w:val="000000"/>
          <w:sz w:val="28"/>
          <w:highlight w:val="white"/>
        </w:rPr>
        <w:t>0</w:t>
      </w:r>
      <w:r>
        <w:rPr>
          <w:rFonts w:hint="eastAsia" w:ascii="仿宋" w:hAnsi="仿宋" w:eastAsia="仿宋"/>
          <w:color w:val="000000"/>
          <w:sz w:val="28"/>
          <w:highlight w:val="white"/>
        </w:rPr>
        <w:t>万元，增长/下降0%，主要原因是无；公务用车购置及运行维护费支出决算为</w:t>
      </w:r>
      <w:r>
        <w:rPr>
          <w:rFonts w:hint="default" w:ascii="仿宋" w:hAnsi="仿宋" w:eastAsia="仿宋"/>
          <w:color w:val="000000"/>
          <w:sz w:val="28"/>
          <w:highlight w:val="white"/>
        </w:rPr>
        <w:t>0</w:t>
      </w:r>
      <w:r>
        <w:rPr>
          <w:rFonts w:hint="eastAsia" w:ascii="仿宋" w:hAnsi="仿宋" w:eastAsia="仿宋"/>
          <w:color w:val="000000"/>
          <w:sz w:val="28"/>
          <w:highlight w:val="white"/>
        </w:rPr>
        <w:t>万元，占0%，与2019年度相比，增加/减少</w:t>
      </w:r>
      <w:r>
        <w:rPr>
          <w:rFonts w:hint="default" w:ascii="仿宋" w:hAnsi="仿宋" w:eastAsia="仿宋"/>
          <w:color w:val="000000"/>
          <w:sz w:val="28"/>
          <w:highlight w:val="white"/>
        </w:rPr>
        <w:t>0</w:t>
      </w:r>
      <w:r>
        <w:rPr>
          <w:rFonts w:hint="eastAsia" w:ascii="仿宋" w:hAnsi="仿宋" w:eastAsia="仿宋"/>
          <w:color w:val="000000"/>
          <w:sz w:val="28"/>
          <w:highlight w:val="white"/>
        </w:rPr>
        <w:t>万元，增长/下降0%，主要原因是无；公务接待费支出决算为</w:t>
      </w:r>
      <w:r>
        <w:rPr>
          <w:rFonts w:hint="default" w:ascii="仿宋" w:hAnsi="仿宋" w:eastAsia="仿宋"/>
          <w:color w:val="000000"/>
          <w:sz w:val="28"/>
          <w:highlight w:val="white"/>
        </w:rPr>
        <w:t>0</w:t>
      </w:r>
      <w:r>
        <w:rPr>
          <w:rFonts w:hint="eastAsia" w:ascii="仿宋" w:hAnsi="仿宋" w:eastAsia="仿宋"/>
          <w:color w:val="000000"/>
          <w:sz w:val="28"/>
          <w:highlight w:val="white"/>
        </w:rPr>
        <w:t>万元，占0%，与2019年度相比，减少</w:t>
      </w:r>
      <w:r>
        <w:rPr>
          <w:rFonts w:hint="default" w:ascii="仿宋" w:hAnsi="仿宋" w:eastAsia="仿宋"/>
          <w:color w:val="000000"/>
          <w:sz w:val="28"/>
          <w:highlight w:val="white"/>
        </w:rPr>
        <w:t>0</w:t>
      </w:r>
      <w:r>
        <w:rPr>
          <w:rFonts w:hint="eastAsia" w:ascii="仿宋" w:hAnsi="仿宋" w:eastAsia="仿宋"/>
          <w:color w:val="000000"/>
          <w:sz w:val="28"/>
          <w:highlight w:val="white"/>
        </w:rPr>
        <w:t>万元，下降</w:t>
      </w:r>
      <w:r>
        <w:rPr>
          <w:rFonts w:hint="default" w:ascii="仿宋" w:hAnsi="仿宋" w:eastAsia="仿宋"/>
          <w:color w:val="000000"/>
          <w:sz w:val="28"/>
          <w:highlight w:val="white"/>
        </w:rPr>
        <w:t>0</w:t>
      </w:r>
      <w:r>
        <w:rPr>
          <w:rFonts w:hint="eastAsia" w:ascii="仿宋" w:hAnsi="仿宋" w:eastAsia="仿宋"/>
          <w:color w:val="000000"/>
          <w:sz w:val="28"/>
          <w:highlight w:val="white"/>
        </w:rPr>
        <w:t>%，主要原因是本年无支出。具体情况如下：</w:t>
      </w:r>
    </w:p>
    <w:p>
      <w:pPr>
        <w:autoSpaceDE w:val="0"/>
        <w:autoSpaceDN w:val="0"/>
        <w:adjustRightInd w:val="0"/>
        <w:spacing w:beforeLines="0" w:afterLines="0" w:line="560" w:lineRule="exact"/>
        <w:ind w:firstLine="594"/>
        <w:rPr>
          <w:rFonts w:hint="default" w:ascii="仿宋" w:hAnsi="仿宋" w:eastAsia="仿宋"/>
          <w:color w:val="000000"/>
          <w:sz w:val="28"/>
          <w:highlight w:val="white"/>
        </w:rPr>
      </w:pPr>
      <w:r>
        <w:rPr>
          <w:rFonts w:hint="eastAsia" w:ascii="仿宋" w:hAnsi="仿宋" w:eastAsia="仿宋"/>
          <w:b/>
          <w:color w:val="000000"/>
          <w:sz w:val="28"/>
          <w:highlight w:val="white"/>
        </w:rPr>
        <w:t>（1）因公出国（境）费</w:t>
      </w:r>
      <w:r>
        <w:rPr>
          <w:rFonts w:hint="eastAsia" w:ascii="仿宋" w:hAnsi="仿宋" w:eastAsia="仿宋"/>
          <w:color w:val="000000"/>
          <w:sz w:val="28"/>
          <w:highlight w:val="white"/>
        </w:rPr>
        <w:t>预算数为</w:t>
      </w:r>
      <w:r>
        <w:rPr>
          <w:rFonts w:hint="default" w:ascii="仿宋" w:hAnsi="仿宋" w:eastAsia="仿宋"/>
          <w:color w:val="000000"/>
          <w:sz w:val="28"/>
          <w:highlight w:val="white"/>
        </w:rPr>
        <w:t>0</w:t>
      </w:r>
      <w:r>
        <w:rPr>
          <w:rFonts w:hint="eastAsia" w:ascii="仿宋" w:hAnsi="仿宋" w:eastAsia="仿宋"/>
          <w:color w:val="000000"/>
          <w:sz w:val="28"/>
          <w:highlight w:val="white"/>
        </w:rPr>
        <w:t>万元，支出决算为</w:t>
      </w:r>
      <w:r>
        <w:rPr>
          <w:rFonts w:hint="default" w:ascii="仿宋" w:hAnsi="仿宋" w:eastAsia="仿宋"/>
          <w:sz w:val="28"/>
          <w:highlight w:val="white"/>
          <w:lang w:val="zh-CN"/>
        </w:rPr>
        <w:t>0</w:t>
      </w:r>
      <w:r>
        <w:rPr>
          <w:rFonts w:hint="eastAsia" w:ascii="仿宋" w:hAnsi="仿宋" w:eastAsia="仿宋"/>
          <w:color w:val="000000"/>
          <w:sz w:val="28"/>
          <w:highlight w:val="white"/>
        </w:rPr>
        <w:t>万元。完成预算的0%。主要用于机关及局属预算单位人员的等公务出国（境）的住宿费、国际旅费、培训费、公杂费等支出。决算数等于预算数的主要原因是本年无因公出国（境）。全年使用一般公共预算财政拨款支出涉及因公出国(境)团组</w:t>
      </w:r>
      <w:r>
        <w:rPr>
          <w:rFonts w:hint="default" w:ascii="仿宋" w:hAnsi="仿宋" w:eastAsia="仿宋"/>
          <w:color w:val="000000"/>
          <w:sz w:val="28"/>
          <w:highlight w:val="white"/>
        </w:rPr>
        <w:t>0</w:t>
      </w:r>
      <w:r>
        <w:rPr>
          <w:rFonts w:hint="eastAsia" w:ascii="仿宋" w:hAnsi="仿宋" w:eastAsia="仿宋"/>
          <w:color w:val="000000"/>
          <w:sz w:val="28"/>
          <w:highlight w:val="white"/>
        </w:rPr>
        <w:t>个；累计</w:t>
      </w:r>
      <w:r>
        <w:rPr>
          <w:rFonts w:hint="default" w:ascii="仿宋" w:hAnsi="仿宋" w:eastAsia="仿宋"/>
          <w:color w:val="000000"/>
          <w:sz w:val="28"/>
          <w:highlight w:val="white"/>
          <w:lang w:val="zh-CN"/>
        </w:rPr>
        <w:t>0</w:t>
      </w:r>
      <w:r>
        <w:rPr>
          <w:rFonts w:hint="eastAsia" w:ascii="仿宋" w:hAnsi="仿宋" w:eastAsia="仿宋"/>
          <w:color w:val="000000"/>
          <w:sz w:val="28"/>
          <w:highlight w:val="white"/>
        </w:rPr>
        <w:t>人次。开支内容包括：无。</w:t>
      </w:r>
    </w:p>
    <w:p>
      <w:pPr>
        <w:autoSpaceDE w:val="0"/>
        <w:autoSpaceDN w:val="0"/>
        <w:adjustRightInd w:val="0"/>
        <w:spacing w:beforeLines="0" w:afterLines="0" w:line="560" w:lineRule="exact"/>
        <w:ind w:firstLine="594"/>
        <w:rPr>
          <w:rFonts w:hint="default" w:ascii="仿宋" w:hAnsi="仿宋" w:eastAsia="仿宋"/>
          <w:color w:val="000000"/>
          <w:sz w:val="28"/>
          <w:highlight w:val="white"/>
        </w:rPr>
      </w:pPr>
      <w:r>
        <w:rPr>
          <w:rFonts w:hint="eastAsia" w:ascii="仿宋" w:hAnsi="仿宋" w:eastAsia="仿宋"/>
          <w:b/>
          <w:color w:val="000000"/>
          <w:sz w:val="28"/>
          <w:highlight w:val="white"/>
        </w:rPr>
        <w:t>（2）公务用车购置及运行维护费</w:t>
      </w:r>
      <w:r>
        <w:rPr>
          <w:rFonts w:hint="eastAsia" w:ascii="仿宋" w:hAnsi="仿宋" w:eastAsia="仿宋"/>
          <w:color w:val="000000"/>
          <w:sz w:val="28"/>
          <w:highlight w:val="white"/>
        </w:rPr>
        <w:t>预算数为</w:t>
      </w:r>
      <w:r>
        <w:rPr>
          <w:rFonts w:hint="default" w:ascii="仿宋" w:hAnsi="仿宋" w:eastAsia="仿宋"/>
          <w:color w:val="000000"/>
          <w:sz w:val="28"/>
          <w:highlight w:val="white"/>
        </w:rPr>
        <w:t>0</w:t>
      </w:r>
      <w:r>
        <w:rPr>
          <w:rFonts w:hint="eastAsia" w:ascii="仿宋" w:hAnsi="仿宋" w:eastAsia="仿宋"/>
          <w:color w:val="000000"/>
          <w:sz w:val="28"/>
          <w:highlight w:val="white"/>
        </w:rPr>
        <w:t>万元，支出决算为</w:t>
      </w:r>
      <w:r>
        <w:rPr>
          <w:rFonts w:hint="default" w:ascii="仿宋" w:hAnsi="仿宋" w:eastAsia="仿宋"/>
          <w:color w:val="000000"/>
          <w:sz w:val="28"/>
          <w:highlight w:val="white"/>
        </w:rPr>
        <w:t>0</w:t>
      </w:r>
      <w:r>
        <w:rPr>
          <w:rFonts w:hint="eastAsia" w:ascii="仿宋" w:hAnsi="仿宋" w:eastAsia="仿宋"/>
          <w:color w:val="000000"/>
          <w:sz w:val="28"/>
          <w:highlight w:val="white"/>
        </w:rPr>
        <w:t>万元，完成预算的0%。决算数等于预算数的主要原因是本年无公务用车购置及运行维护费。</w:t>
      </w:r>
    </w:p>
    <w:p>
      <w:pPr>
        <w:autoSpaceDE w:val="0"/>
        <w:autoSpaceDN w:val="0"/>
        <w:adjustRightInd w:val="0"/>
        <w:spacing w:beforeLines="0" w:afterLines="0" w:line="560" w:lineRule="exact"/>
        <w:ind w:firstLine="594"/>
        <w:rPr>
          <w:rFonts w:hint="default" w:ascii="仿宋" w:hAnsi="仿宋" w:eastAsia="仿宋"/>
          <w:color w:val="000000"/>
          <w:sz w:val="28"/>
          <w:highlight w:val="white"/>
        </w:rPr>
      </w:pPr>
      <w:r>
        <w:rPr>
          <w:rFonts w:hint="eastAsia" w:ascii="仿宋" w:hAnsi="仿宋" w:eastAsia="仿宋"/>
          <w:b/>
          <w:color w:val="000000"/>
          <w:sz w:val="28"/>
          <w:highlight w:val="white"/>
        </w:rPr>
        <w:t>公务用车购置</w:t>
      </w:r>
      <w:r>
        <w:rPr>
          <w:rFonts w:hint="eastAsia" w:ascii="仿宋" w:hAnsi="仿宋" w:eastAsia="仿宋"/>
          <w:color w:val="000000"/>
          <w:sz w:val="28"/>
          <w:highlight w:val="white"/>
        </w:rPr>
        <w:t>预算数为</w:t>
      </w:r>
      <w:r>
        <w:rPr>
          <w:rFonts w:hint="default" w:ascii="仿宋" w:hAnsi="仿宋" w:eastAsia="仿宋"/>
          <w:color w:val="000000"/>
          <w:sz w:val="28"/>
          <w:highlight w:val="white"/>
        </w:rPr>
        <w:t>0</w:t>
      </w:r>
      <w:r>
        <w:rPr>
          <w:rFonts w:hint="eastAsia" w:ascii="仿宋" w:hAnsi="仿宋" w:eastAsia="仿宋"/>
          <w:color w:val="000000"/>
          <w:sz w:val="28"/>
          <w:highlight w:val="white"/>
        </w:rPr>
        <w:t>万元，支出决算为</w:t>
      </w:r>
      <w:r>
        <w:rPr>
          <w:rFonts w:hint="default" w:ascii="仿宋" w:hAnsi="仿宋" w:eastAsia="仿宋"/>
          <w:sz w:val="28"/>
          <w:highlight w:val="white"/>
          <w:lang w:val="zh-CN"/>
        </w:rPr>
        <w:t>0</w:t>
      </w:r>
      <w:r>
        <w:rPr>
          <w:rFonts w:hint="eastAsia" w:ascii="仿宋" w:hAnsi="仿宋" w:eastAsia="仿宋"/>
          <w:color w:val="000000"/>
          <w:sz w:val="28"/>
          <w:highlight w:val="white"/>
        </w:rPr>
        <w:t>万元（含购置税等附加费用），完成预算的0%。决算数等于预算数的主要原因是无。主要用于经批准购置的</w:t>
      </w:r>
      <w:r>
        <w:rPr>
          <w:rFonts w:hint="default" w:ascii="仿宋" w:hAnsi="仿宋" w:eastAsia="仿宋"/>
          <w:sz w:val="28"/>
          <w:highlight w:val="white"/>
          <w:lang w:val="zh-CN"/>
        </w:rPr>
        <w:t>0</w:t>
      </w:r>
      <w:r>
        <w:rPr>
          <w:rFonts w:hint="eastAsia" w:ascii="仿宋" w:hAnsi="仿宋" w:eastAsia="仿宋"/>
          <w:color w:val="000000"/>
          <w:sz w:val="28"/>
          <w:highlight w:val="white"/>
        </w:rPr>
        <w:t>辆公务用车；</w:t>
      </w:r>
    </w:p>
    <w:p>
      <w:pPr>
        <w:autoSpaceDE w:val="0"/>
        <w:autoSpaceDN w:val="0"/>
        <w:adjustRightInd w:val="0"/>
        <w:spacing w:beforeLines="0" w:afterLines="0" w:line="560" w:lineRule="exact"/>
        <w:ind w:firstLine="594"/>
        <w:rPr>
          <w:rFonts w:hint="default" w:ascii="仿宋" w:hAnsi="仿宋" w:eastAsia="仿宋"/>
          <w:color w:val="000000"/>
          <w:sz w:val="28"/>
          <w:highlight w:val="white"/>
        </w:rPr>
      </w:pPr>
      <w:r>
        <w:rPr>
          <w:rFonts w:hint="eastAsia" w:ascii="仿宋" w:hAnsi="仿宋" w:eastAsia="仿宋"/>
          <w:b/>
          <w:color w:val="000000"/>
          <w:sz w:val="28"/>
          <w:highlight w:val="white"/>
        </w:rPr>
        <w:t>公务用车运行维护费</w:t>
      </w:r>
      <w:r>
        <w:rPr>
          <w:rFonts w:hint="eastAsia" w:ascii="仿宋" w:hAnsi="仿宋" w:eastAsia="仿宋"/>
          <w:color w:val="000000"/>
          <w:sz w:val="28"/>
          <w:highlight w:val="white"/>
        </w:rPr>
        <w:t>预算数为</w:t>
      </w:r>
      <w:r>
        <w:rPr>
          <w:rFonts w:hint="default" w:ascii="仿宋" w:hAnsi="仿宋" w:eastAsia="仿宋"/>
          <w:color w:val="000000"/>
          <w:sz w:val="28"/>
          <w:highlight w:val="white"/>
        </w:rPr>
        <w:t>0</w:t>
      </w:r>
      <w:r>
        <w:rPr>
          <w:rFonts w:hint="eastAsia" w:ascii="仿宋" w:hAnsi="仿宋" w:eastAsia="仿宋"/>
          <w:color w:val="000000"/>
          <w:sz w:val="28"/>
          <w:highlight w:val="white"/>
        </w:rPr>
        <w:t>万元，支出</w:t>
      </w:r>
      <w:r>
        <w:rPr>
          <w:rFonts w:hint="default" w:ascii="仿宋" w:hAnsi="仿宋" w:eastAsia="仿宋"/>
          <w:sz w:val="28"/>
          <w:highlight w:val="white"/>
          <w:lang w:val="zh-CN"/>
        </w:rPr>
        <w:t>0</w:t>
      </w:r>
      <w:r>
        <w:rPr>
          <w:rFonts w:hint="eastAsia" w:ascii="仿宋" w:hAnsi="仿宋" w:eastAsia="仿宋"/>
          <w:color w:val="000000"/>
          <w:sz w:val="28"/>
          <w:highlight w:val="white"/>
        </w:rPr>
        <w:t>万元，完成预算的0%。决算数等于预算数的主要原因是本年无预算安排。主要用于所需的公务用车燃料费、维修费、过路过桥费、保险费、安全奖励费用等支出；2020年度，本级及所属单位开支一般公共预算财政拨款的公务用车保有量为</w:t>
      </w:r>
      <w:r>
        <w:rPr>
          <w:rFonts w:hint="default" w:ascii="仿宋" w:hAnsi="仿宋" w:eastAsia="仿宋"/>
          <w:sz w:val="28"/>
          <w:highlight w:val="white"/>
          <w:lang w:val="zh-CN"/>
        </w:rPr>
        <w:t>0</w:t>
      </w:r>
      <w:r>
        <w:rPr>
          <w:rFonts w:hint="eastAsia" w:ascii="仿宋" w:hAnsi="仿宋" w:eastAsia="仿宋"/>
          <w:color w:val="000000"/>
          <w:sz w:val="28"/>
          <w:highlight w:val="white"/>
        </w:rPr>
        <w:t>辆。</w:t>
      </w:r>
    </w:p>
    <w:p>
      <w:pPr>
        <w:autoSpaceDE w:val="0"/>
        <w:autoSpaceDN w:val="0"/>
        <w:adjustRightInd w:val="0"/>
        <w:spacing w:beforeLines="0" w:afterLines="0" w:line="560" w:lineRule="exact"/>
        <w:ind w:firstLine="594"/>
        <w:rPr>
          <w:rFonts w:hint="default" w:ascii="仿宋" w:hAnsi="仿宋" w:eastAsia="仿宋"/>
          <w:color w:val="000000"/>
          <w:sz w:val="28"/>
          <w:highlight w:val="white"/>
        </w:rPr>
      </w:pPr>
      <w:r>
        <w:rPr>
          <w:rFonts w:hint="eastAsia" w:ascii="仿宋" w:hAnsi="仿宋" w:eastAsia="仿宋"/>
          <w:b/>
          <w:color w:val="000000"/>
          <w:sz w:val="28"/>
          <w:highlight w:val="white"/>
        </w:rPr>
        <w:t>（3）公务接待费</w:t>
      </w:r>
      <w:r>
        <w:rPr>
          <w:rFonts w:hint="eastAsia" w:ascii="仿宋" w:hAnsi="仿宋" w:eastAsia="仿宋"/>
          <w:color w:val="000000"/>
          <w:sz w:val="28"/>
          <w:highlight w:val="white"/>
        </w:rPr>
        <w:t>预算数为</w:t>
      </w:r>
      <w:r>
        <w:rPr>
          <w:rFonts w:hint="default" w:ascii="仿宋" w:hAnsi="仿宋" w:eastAsia="仿宋"/>
          <w:color w:val="000000"/>
          <w:sz w:val="28"/>
          <w:highlight w:val="white"/>
        </w:rPr>
        <w:t>0</w:t>
      </w:r>
      <w:r>
        <w:rPr>
          <w:rFonts w:hint="eastAsia" w:ascii="仿宋" w:hAnsi="仿宋" w:eastAsia="仿宋"/>
          <w:color w:val="000000"/>
          <w:sz w:val="28"/>
          <w:highlight w:val="white"/>
        </w:rPr>
        <w:t>万元，支出决算为</w:t>
      </w:r>
      <w:r>
        <w:rPr>
          <w:rFonts w:hint="default" w:ascii="仿宋" w:hAnsi="仿宋" w:eastAsia="仿宋"/>
          <w:color w:val="000000"/>
          <w:sz w:val="28"/>
          <w:highlight w:val="white"/>
        </w:rPr>
        <w:t>0</w:t>
      </w:r>
      <w:r>
        <w:rPr>
          <w:rFonts w:hint="eastAsia" w:ascii="仿宋" w:hAnsi="仿宋" w:eastAsia="仿宋"/>
          <w:color w:val="000000"/>
          <w:sz w:val="28"/>
          <w:highlight w:val="white"/>
        </w:rPr>
        <w:t>万元，完成预算的0%。主要用于无接待支出。决算数等于预算数的主要原因是无全年使用一般公共预算财政拨款国内公务接待</w:t>
      </w:r>
      <w:r>
        <w:rPr>
          <w:rFonts w:hint="default" w:ascii="仿宋" w:hAnsi="仿宋" w:eastAsia="仿宋"/>
          <w:color w:val="000000"/>
          <w:sz w:val="28"/>
          <w:highlight w:val="white"/>
        </w:rPr>
        <w:t>0</w:t>
      </w:r>
      <w:r>
        <w:rPr>
          <w:rFonts w:hint="eastAsia" w:ascii="仿宋" w:hAnsi="仿宋" w:eastAsia="仿宋"/>
          <w:color w:val="000000"/>
          <w:sz w:val="28"/>
          <w:highlight w:val="white"/>
        </w:rPr>
        <w:t>团组，累计</w:t>
      </w:r>
      <w:r>
        <w:rPr>
          <w:rFonts w:hint="default" w:ascii="仿宋" w:hAnsi="仿宋" w:eastAsia="仿宋"/>
          <w:color w:val="000000"/>
          <w:sz w:val="28"/>
          <w:highlight w:val="white"/>
        </w:rPr>
        <w:t>0</w:t>
      </w:r>
      <w:r>
        <w:rPr>
          <w:rFonts w:hint="eastAsia" w:ascii="仿宋" w:hAnsi="仿宋" w:eastAsia="仿宋"/>
          <w:color w:val="000000"/>
          <w:sz w:val="28"/>
          <w:highlight w:val="white"/>
        </w:rPr>
        <w:t>人次。</w:t>
      </w:r>
    </w:p>
    <w:p>
      <w:pPr>
        <w:autoSpaceDE w:val="0"/>
        <w:autoSpaceDN w:val="0"/>
        <w:adjustRightInd w:val="0"/>
        <w:spacing w:beforeLines="0" w:afterLines="0" w:line="560" w:lineRule="exact"/>
        <w:ind w:firstLine="594"/>
        <w:rPr>
          <w:rFonts w:hint="default" w:ascii="仿宋" w:hAnsi="仿宋" w:eastAsia="仿宋"/>
          <w:color w:val="000000"/>
          <w:sz w:val="28"/>
          <w:highlight w:val="white"/>
        </w:rPr>
      </w:pPr>
      <w:r>
        <w:rPr>
          <w:rFonts w:hint="eastAsia" w:ascii="仿宋" w:hAnsi="仿宋" w:eastAsia="仿宋"/>
          <w:b/>
          <w:color w:val="000000"/>
          <w:sz w:val="28"/>
          <w:highlight w:val="white"/>
        </w:rPr>
        <w:t>外宾接待</w:t>
      </w:r>
      <w:r>
        <w:rPr>
          <w:rFonts w:hint="eastAsia" w:ascii="仿宋" w:hAnsi="仿宋" w:eastAsia="仿宋"/>
          <w:color w:val="000000"/>
          <w:sz w:val="28"/>
          <w:highlight w:val="white"/>
        </w:rPr>
        <w:t>支出</w:t>
      </w:r>
      <w:r>
        <w:rPr>
          <w:rFonts w:hint="default" w:ascii="仿宋" w:hAnsi="仿宋" w:eastAsia="仿宋"/>
          <w:color w:val="000000"/>
          <w:sz w:val="28"/>
          <w:highlight w:val="white"/>
        </w:rPr>
        <w:t>0</w:t>
      </w:r>
      <w:r>
        <w:rPr>
          <w:rFonts w:hint="eastAsia" w:ascii="仿宋" w:hAnsi="仿宋" w:eastAsia="仿宋"/>
          <w:color w:val="000000"/>
          <w:sz w:val="28"/>
          <w:highlight w:val="white"/>
        </w:rPr>
        <w:t>万元，主要用于无接待</w:t>
      </w:r>
      <w:r>
        <w:rPr>
          <w:rFonts w:hint="default" w:ascii="仿宋" w:hAnsi="仿宋" w:eastAsia="仿宋"/>
          <w:color w:val="000000"/>
          <w:sz w:val="28"/>
          <w:highlight w:val="white"/>
        </w:rPr>
        <w:t>0</w:t>
      </w:r>
      <w:r>
        <w:rPr>
          <w:rFonts w:hint="eastAsia" w:ascii="仿宋" w:hAnsi="仿宋" w:eastAsia="仿宋"/>
          <w:color w:val="000000"/>
          <w:sz w:val="28"/>
          <w:highlight w:val="white"/>
        </w:rPr>
        <w:t>团组，</w:t>
      </w:r>
      <w:r>
        <w:rPr>
          <w:rFonts w:hint="default" w:ascii="仿宋" w:hAnsi="仿宋" w:eastAsia="仿宋"/>
          <w:color w:val="000000"/>
          <w:sz w:val="28"/>
          <w:highlight w:val="white"/>
        </w:rPr>
        <w:t>0</w:t>
      </w:r>
      <w:r>
        <w:rPr>
          <w:rFonts w:hint="eastAsia" w:ascii="仿宋" w:hAnsi="仿宋" w:eastAsia="仿宋"/>
          <w:color w:val="000000"/>
          <w:sz w:val="28"/>
          <w:highlight w:val="white"/>
        </w:rPr>
        <w:t>人次。</w:t>
      </w:r>
    </w:p>
    <w:p>
      <w:pPr>
        <w:autoSpaceDE w:val="0"/>
        <w:autoSpaceDN w:val="0"/>
        <w:adjustRightInd w:val="0"/>
        <w:spacing w:beforeLines="0" w:afterLines="0" w:line="560" w:lineRule="exact"/>
        <w:ind w:firstLine="594"/>
        <w:rPr>
          <w:rFonts w:hint="default" w:ascii="仿宋" w:hAnsi="仿宋" w:eastAsia="仿宋"/>
          <w:color w:val="000000"/>
          <w:sz w:val="28"/>
          <w:highlight w:val="white"/>
        </w:rPr>
      </w:pPr>
      <w:r>
        <w:rPr>
          <w:rFonts w:hint="eastAsia" w:ascii="仿宋" w:hAnsi="仿宋" w:eastAsia="仿宋"/>
          <w:b/>
          <w:color w:val="000000"/>
          <w:sz w:val="28"/>
          <w:highlight w:val="white"/>
        </w:rPr>
        <w:t>其他国内公务接待</w:t>
      </w:r>
      <w:r>
        <w:rPr>
          <w:rFonts w:hint="eastAsia" w:ascii="仿宋" w:hAnsi="仿宋" w:eastAsia="仿宋"/>
          <w:color w:val="000000"/>
          <w:sz w:val="28"/>
          <w:highlight w:val="white"/>
        </w:rPr>
        <w:t>支出</w:t>
      </w:r>
      <w:r>
        <w:rPr>
          <w:rFonts w:hint="default" w:ascii="仿宋" w:hAnsi="仿宋" w:eastAsia="仿宋"/>
          <w:color w:val="000000"/>
          <w:sz w:val="28"/>
          <w:highlight w:val="white"/>
        </w:rPr>
        <w:t>0</w:t>
      </w:r>
      <w:r>
        <w:rPr>
          <w:rFonts w:hint="eastAsia" w:ascii="仿宋" w:hAnsi="仿宋" w:eastAsia="仿宋"/>
          <w:color w:val="000000"/>
          <w:sz w:val="28"/>
          <w:highlight w:val="white"/>
        </w:rPr>
        <w:t>万元，主要用于无接待</w:t>
      </w:r>
      <w:r>
        <w:rPr>
          <w:rFonts w:hint="default" w:ascii="仿宋" w:hAnsi="仿宋" w:eastAsia="仿宋"/>
          <w:color w:val="000000"/>
          <w:sz w:val="28"/>
          <w:highlight w:val="white"/>
        </w:rPr>
        <w:t>0</w:t>
      </w:r>
      <w:r>
        <w:rPr>
          <w:rFonts w:hint="eastAsia" w:ascii="仿宋" w:hAnsi="仿宋" w:eastAsia="仿宋"/>
          <w:color w:val="000000"/>
          <w:sz w:val="28"/>
          <w:highlight w:val="white"/>
        </w:rPr>
        <w:t>团组，</w:t>
      </w:r>
      <w:r>
        <w:rPr>
          <w:rFonts w:hint="default" w:ascii="仿宋" w:hAnsi="仿宋" w:eastAsia="仿宋"/>
          <w:color w:val="000000"/>
          <w:sz w:val="28"/>
          <w:highlight w:val="white"/>
        </w:rPr>
        <w:t>0</w:t>
      </w:r>
      <w:r>
        <w:rPr>
          <w:rFonts w:hint="eastAsia" w:ascii="仿宋" w:hAnsi="仿宋" w:eastAsia="仿宋"/>
          <w:color w:val="000000"/>
          <w:sz w:val="28"/>
          <w:highlight w:val="white"/>
        </w:rPr>
        <w:t>人次。</w:t>
      </w:r>
    </w:p>
    <w:p>
      <w:pPr>
        <w:autoSpaceDE w:val="0"/>
        <w:autoSpaceDN w:val="0"/>
        <w:adjustRightInd w:val="0"/>
        <w:spacing w:beforeLines="0" w:afterLines="0" w:line="560" w:lineRule="exact"/>
        <w:ind w:firstLine="594"/>
        <w:rPr>
          <w:rFonts w:hint="default" w:ascii="仿宋" w:hAnsi="仿宋" w:eastAsia="仿宋"/>
          <w:color w:val="000000"/>
          <w:sz w:val="28"/>
          <w:highlight w:val="white"/>
        </w:rPr>
      </w:pPr>
      <w:r>
        <w:rPr>
          <w:rFonts w:hint="eastAsia" w:ascii="仿宋" w:hAnsi="仿宋" w:eastAsia="仿宋"/>
          <w:b/>
          <w:color w:val="000000"/>
          <w:sz w:val="28"/>
          <w:highlight w:val="white"/>
        </w:rPr>
        <w:t>（十）机关运行经费支出说明</w:t>
      </w:r>
    </w:p>
    <w:p>
      <w:pPr>
        <w:autoSpaceDE w:val="0"/>
        <w:autoSpaceDN w:val="0"/>
        <w:adjustRightInd w:val="0"/>
        <w:spacing w:beforeLines="0" w:afterLines="0" w:line="560" w:lineRule="exact"/>
        <w:ind w:firstLine="594"/>
        <w:rPr>
          <w:rFonts w:hint="default" w:ascii="仿宋" w:hAnsi="仿宋" w:eastAsia="仿宋"/>
          <w:color w:val="000000"/>
          <w:sz w:val="28"/>
          <w:highlight w:val="white"/>
        </w:rPr>
      </w:pPr>
      <w:r>
        <w:rPr>
          <w:rFonts w:hint="eastAsia" w:ascii="仿宋" w:hAnsi="仿宋" w:eastAsia="仿宋"/>
          <w:color w:val="000000"/>
          <w:sz w:val="28"/>
          <w:highlight w:val="white"/>
        </w:rPr>
        <w:t>2020年度机关运行经费年初预算数为89.31万元，支出决算为</w:t>
      </w:r>
      <w:r>
        <w:rPr>
          <w:rFonts w:hint="eastAsia" w:ascii="仿宋" w:hAnsi="仿宋" w:eastAsia="仿宋"/>
          <w:color w:val="000000"/>
          <w:kern w:val="0"/>
          <w:sz w:val="28"/>
          <w:highlight w:val="white"/>
        </w:rPr>
        <w:t>243.96</w:t>
      </w:r>
      <w:r>
        <w:rPr>
          <w:rFonts w:hint="eastAsia" w:ascii="仿宋" w:hAnsi="仿宋" w:eastAsia="仿宋"/>
          <w:color w:val="000000"/>
          <w:sz w:val="28"/>
          <w:highlight w:val="white"/>
        </w:rPr>
        <w:t>万元，完成年初预算的273.16%，决算数大于预算数的主要原因人员增加；比2019年度增加105.35万元，增长76</w:t>
      </w:r>
      <w:r>
        <w:rPr>
          <w:rFonts w:hint="default" w:ascii="仿宋" w:hAnsi="仿宋" w:eastAsia="仿宋"/>
          <w:color w:val="000000"/>
          <w:sz w:val="28"/>
          <w:highlight w:val="white"/>
        </w:rPr>
        <w:t>.00</w:t>
      </w:r>
      <w:r>
        <w:rPr>
          <w:rFonts w:hint="eastAsia" w:ascii="仿宋" w:hAnsi="仿宋" w:eastAsia="仿宋"/>
          <w:color w:val="000000"/>
          <w:sz w:val="28"/>
          <w:highlight w:val="white"/>
        </w:rPr>
        <w:t>%，主要原因是编外人员工资放劳务费列支。</w:t>
      </w:r>
    </w:p>
    <w:p>
      <w:pPr>
        <w:autoSpaceDE w:val="0"/>
        <w:autoSpaceDN w:val="0"/>
        <w:adjustRightInd w:val="0"/>
        <w:spacing w:beforeLines="0" w:afterLines="0" w:line="560" w:lineRule="exact"/>
        <w:ind w:firstLine="594"/>
        <w:rPr>
          <w:rFonts w:hint="default" w:ascii="仿宋" w:hAnsi="仿宋" w:eastAsia="仿宋"/>
          <w:b/>
          <w:color w:val="000000"/>
          <w:sz w:val="28"/>
          <w:highlight w:val="white"/>
        </w:rPr>
      </w:pPr>
      <w:r>
        <w:rPr>
          <w:rFonts w:hint="eastAsia" w:ascii="仿宋" w:hAnsi="仿宋" w:eastAsia="仿宋"/>
          <w:b/>
          <w:color w:val="000000"/>
          <w:sz w:val="28"/>
          <w:highlight w:val="white"/>
        </w:rPr>
        <w:t>（十一）政府采购支出说明</w:t>
      </w:r>
    </w:p>
    <w:p>
      <w:pPr>
        <w:autoSpaceDE w:val="0"/>
        <w:autoSpaceDN w:val="0"/>
        <w:adjustRightInd w:val="0"/>
        <w:spacing w:beforeLines="0" w:afterLines="0" w:line="560" w:lineRule="exact"/>
        <w:ind w:firstLine="594"/>
        <w:rPr>
          <w:rFonts w:hint="default" w:ascii="仿宋" w:hAnsi="仿宋" w:eastAsia="仿宋"/>
          <w:sz w:val="28"/>
          <w:highlight w:val="white"/>
        </w:rPr>
      </w:pPr>
      <w:r>
        <w:rPr>
          <w:rFonts w:hint="eastAsia" w:ascii="仿宋" w:hAnsi="仿宋" w:eastAsia="仿宋"/>
          <w:color w:val="000000"/>
          <w:sz w:val="28"/>
          <w:highlight w:val="white"/>
        </w:rPr>
        <w:t>2020年度政府采购支出总额</w:t>
      </w:r>
      <w:r>
        <w:rPr>
          <w:rFonts w:hint="eastAsia" w:ascii="仿宋" w:hAnsi="仿宋" w:eastAsia="仿宋"/>
          <w:kern w:val="0"/>
          <w:sz w:val="28"/>
          <w:highlight w:val="white"/>
        </w:rPr>
        <w:t>16.78</w:t>
      </w:r>
      <w:r>
        <w:rPr>
          <w:rFonts w:hint="eastAsia" w:ascii="仿宋" w:hAnsi="仿宋" w:eastAsia="仿宋"/>
          <w:color w:val="000000"/>
          <w:sz w:val="28"/>
          <w:highlight w:val="white"/>
        </w:rPr>
        <w:t>万元，其中：政府采购货物支出</w:t>
      </w:r>
      <w:r>
        <w:rPr>
          <w:rFonts w:hint="eastAsia" w:ascii="仿宋" w:hAnsi="仿宋" w:eastAsia="仿宋"/>
          <w:kern w:val="0"/>
          <w:sz w:val="28"/>
          <w:highlight w:val="white"/>
        </w:rPr>
        <w:t>16.78</w:t>
      </w:r>
      <w:r>
        <w:rPr>
          <w:rFonts w:hint="eastAsia" w:ascii="仿宋" w:hAnsi="仿宋" w:eastAsia="仿宋"/>
          <w:color w:val="000000"/>
          <w:sz w:val="28"/>
          <w:highlight w:val="white"/>
        </w:rPr>
        <w:t>万元、政府采购工程支出</w:t>
      </w:r>
      <w:r>
        <w:rPr>
          <w:rFonts w:hint="default" w:ascii="仿宋" w:hAnsi="仿宋" w:eastAsia="仿宋"/>
          <w:kern w:val="0"/>
          <w:sz w:val="28"/>
          <w:highlight w:val="white"/>
        </w:rPr>
        <w:t>0</w:t>
      </w:r>
      <w:r>
        <w:rPr>
          <w:rFonts w:hint="eastAsia" w:ascii="仿宋" w:hAnsi="仿宋" w:eastAsia="仿宋"/>
          <w:color w:val="000000"/>
          <w:sz w:val="28"/>
          <w:highlight w:val="white"/>
        </w:rPr>
        <w:t>万元、政府采购服务支出</w:t>
      </w:r>
      <w:r>
        <w:rPr>
          <w:rFonts w:hint="default" w:ascii="仿宋" w:hAnsi="仿宋" w:eastAsia="仿宋"/>
          <w:kern w:val="0"/>
          <w:sz w:val="28"/>
          <w:highlight w:val="white"/>
        </w:rPr>
        <w:t>0</w:t>
      </w:r>
      <w:r>
        <w:rPr>
          <w:rFonts w:hint="eastAsia" w:ascii="仿宋" w:hAnsi="仿宋" w:eastAsia="仿宋"/>
          <w:color w:val="000000"/>
          <w:sz w:val="28"/>
          <w:highlight w:val="white"/>
        </w:rPr>
        <w:t>万元。</w:t>
      </w:r>
      <w:r>
        <w:rPr>
          <w:rFonts w:hint="eastAsia" w:ascii="仿宋" w:hAnsi="仿宋" w:eastAsia="仿宋"/>
          <w:sz w:val="28"/>
          <w:highlight w:val="white"/>
        </w:rPr>
        <w:t>授予中小企业合同金额</w:t>
      </w:r>
      <w:r>
        <w:rPr>
          <w:rFonts w:hint="eastAsia" w:ascii="仿宋" w:hAnsi="仿宋" w:eastAsia="仿宋"/>
          <w:kern w:val="0"/>
          <w:sz w:val="28"/>
          <w:highlight w:val="white"/>
        </w:rPr>
        <w:t>16.78</w:t>
      </w:r>
      <w:r>
        <w:rPr>
          <w:rFonts w:hint="eastAsia" w:ascii="仿宋" w:hAnsi="仿宋" w:eastAsia="仿宋"/>
          <w:sz w:val="28"/>
          <w:highlight w:val="white"/>
        </w:rPr>
        <w:t>万元，占政府采购支出总额的</w:t>
      </w:r>
      <w:r>
        <w:rPr>
          <w:rFonts w:hint="eastAsia" w:ascii="仿宋" w:hAnsi="仿宋" w:eastAsia="仿宋"/>
          <w:kern w:val="0"/>
          <w:sz w:val="28"/>
          <w:highlight w:val="white"/>
        </w:rPr>
        <w:t>100</w:t>
      </w:r>
      <w:r>
        <w:rPr>
          <w:rFonts w:hint="eastAsia" w:ascii="仿宋" w:hAnsi="仿宋" w:eastAsia="仿宋"/>
          <w:sz w:val="28"/>
          <w:highlight w:val="white"/>
        </w:rPr>
        <w:t>%。</w:t>
      </w:r>
      <w:r>
        <w:rPr>
          <w:rFonts w:hint="eastAsia" w:ascii="仿宋" w:hAnsi="仿宋" w:eastAsia="仿宋"/>
          <w:color w:val="000000"/>
          <w:sz w:val="28"/>
          <w:highlight w:val="white"/>
        </w:rPr>
        <w:t>其中，授予小微企业合同金额</w:t>
      </w:r>
      <w:r>
        <w:rPr>
          <w:rFonts w:hint="default" w:ascii="仿宋" w:hAnsi="仿宋" w:eastAsia="仿宋"/>
          <w:kern w:val="0"/>
          <w:sz w:val="28"/>
          <w:highlight w:val="white"/>
        </w:rPr>
        <w:t>0</w:t>
      </w:r>
      <w:r>
        <w:rPr>
          <w:rFonts w:hint="eastAsia" w:ascii="仿宋" w:hAnsi="仿宋" w:eastAsia="仿宋"/>
          <w:color w:val="000000"/>
          <w:sz w:val="28"/>
          <w:highlight w:val="white"/>
        </w:rPr>
        <w:t>万元，占政府采购支出总额的</w:t>
      </w:r>
      <w:r>
        <w:rPr>
          <w:rFonts w:hint="default" w:ascii="仿宋" w:hAnsi="仿宋" w:eastAsia="仿宋"/>
          <w:kern w:val="0"/>
          <w:sz w:val="28"/>
          <w:highlight w:val="white"/>
        </w:rPr>
        <w:t>0</w:t>
      </w:r>
      <w:r>
        <w:rPr>
          <w:rFonts w:hint="eastAsia" w:ascii="仿宋" w:hAnsi="仿宋" w:eastAsia="仿宋"/>
          <w:sz w:val="28"/>
          <w:highlight w:val="white"/>
        </w:rPr>
        <w:t>%。</w:t>
      </w:r>
    </w:p>
    <w:p>
      <w:pPr>
        <w:autoSpaceDE w:val="0"/>
        <w:autoSpaceDN w:val="0"/>
        <w:adjustRightInd w:val="0"/>
        <w:spacing w:beforeLines="0" w:afterLines="0" w:line="560" w:lineRule="exact"/>
        <w:ind w:firstLine="594"/>
        <w:rPr>
          <w:rFonts w:hint="default" w:ascii="仿宋" w:hAnsi="仿宋" w:eastAsia="仿宋"/>
          <w:b/>
          <w:color w:val="000000"/>
          <w:sz w:val="28"/>
          <w:highlight w:val="white"/>
        </w:rPr>
      </w:pPr>
      <w:r>
        <w:rPr>
          <w:rFonts w:hint="eastAsia" w:ascii="仿宋" w:hAnsi="仿宋" w:eastAsia="仿宋"/>
          <w:b/>
          <w:color w:val="000000"/>
          <w:sz w:val="28"/>
          <w:highlight w:val="white"/>
        </w:rPr>
        <w:t>（十二）国有资产占有情况说明</w:t>
      </w:r>
    </w:p>
    <w:p>
      <w:pPr>
        <w:autoSpaceDE w:val="0"/>
        <w:autoSpaceDN w:val="0"/>
        <w:adjustRightInd w:val="0"/>
        <w:spacing w:beforeLines="0" w:afterLines="0" w:line="560" w:lineRule="exact"/>
        <w:ind w:firstLine="594"/>
        <w:rPr>
          <w:rFonts w:hint="default" w:ascii="仿宋" w:hAnsi="仿宋" w:eastAsia="仿宋"/>
          <w:b/>
          <w:color w:val="000000"/>
          <w:sz w:val="28"/>
          <w:highlight w:val="white"/>
        </w:rPr>
      </w:pPr>
      <w:r>
        <w:rPr>
          <w:rFonts w:hint="eastAsia" w:ascii="仿宋" w:hAnsi="仿宋" w:eastAsia="仿宋"/>
          <w:color w:val="000000"/>
          <w:sz w:val="28"/>
          <w:highlight w:val="white"/>
        </w:rPr>
        <w:t>截至2020年12月31日，金华市自然资源和规划局金东分局及下属各单位共有车辆</w:t>
      </w:r>
      <w:r>
        <w:rPr>
          <w:rFonts w:hint="default" w:ascii="仿宋" w:hAnsi="仿宋" w:eastAsia="仿宋"/>
          <w:kern w:val="0"/>
          <w:sz w:val="28"/>
          <w:highlight w:val="white"/>
        </w:rPr>
        <w:t>0</w:t>
      </w:r>
      <w:r>
        <w:rPr>
          <w:rFonts w:hint="eastAsia" w:ascii="仿宋" w:hAnsi="仿宋" w:eastAsia="仿宋"/>
          <w:color w:val="000000"/>
          <w:sz w:val="28"/>
          <w:highlight w:val="white"/>
        </w:rPr>
        <w:t>辆，其中，副部（省）级及以上领导用车</w:t>
      </w:r>
      <w:r>
        <w:rPr>
          <w:rFonts w:hint="default" w:ascii="仿宋" w:hAnsi="仿宋" w:eastAsia="仿宋"/>
          <w:kern w:val="0"/>
          <w:sz w:val="28"/>
          <w:highlight w:val="white"/>
        </w:rPr>
        <w:t>0</w:t>
      </w:r>
      <w:r>
        <w:rPr>
          <w:rFonts w:hint="eastAsia" w:ascii="仿宋" w:hAnsi="仿宋" w:eastAsia="仿宋"/>
          <w:color w:val="000000"/>
          <w:sz w:val="28"/>
          <w:highlight w:val="white"/>
        </w:rPr>
        <w:t>辆、主要领导干部用车</w:t>
      </w:r>
      <w:r>
        <w:rPr>
          <w:rFonts w:hint="default" w:ascii="仿宋" w:hAnsi="仿宋" w:eastAsia="仿宋"/>
          <w:kern w:val="0"/>
          <w:sz w:val="28"/>
          <w:highlight w:val="white"/>
        </w:rPr>
        <w:t>0</w:t>
      </w:r>
      <w:r>
        <w:rPr>
          <w:rFonts w:hint="eastAsia" w:ascii="仿宋" w:hAnsi="仿宋" w:eastAsia="仿宋"/>
          <w:color w:val="000000"/>
          <w:sz w:val="28"/>
          <w:highlight w:val="white"/>
        </w:rPr>
        <w:t>辆、机要通信用车</w:t>
      </w:r>
      <w:r>
        <w:rPr>
          <w:rFonts w:hint="default" w:ascii="仿宋" w:hAnsi="仿宋" w:eastAsia="仿宋"/>
          <w:kern w:val="0"/>
          <w:sz w:val="28"/>
          <w:highlight w:val="white"/>
        </w:rPr>
        <w:t>0</w:t>
      </w:r>
      <w:r>
        <w:rPr>
          <w:rFonts w:hint="eastAsia" w:ascii="仿宋" w:hAnsi="仿宋" w:eastAsia="仿宋"/>
          <w:color w:val="000000"/>
          <w:sz w:val="28"/>
          <w:highlight w:val="white"/>
        </w:rPr>
        <w:t>辆、应急保障用车</w:t>
      </w:r>
      <w:r>
        <w:rPr>
          <w:rFonts w:hint="default" w:ascii="仿宋" w:hAnsi="仿宋" w:eastAsia="仿宋"/>
          <w:kern w:val="0"/>
          <w:sz w:val="28"/>
          <w:highlight w:val="white"/>
        </w:rPr>
        <w:t>0</w:t>
      </w:r>
      <w:r>
        <w:rPr>
          <w:rFonts w:hint="eastAsia" w:ascii="仿宋" w:hAnsi="仿宋" w:eastAsia="仿宋"/>
          <w:color w:val="000000"/>
          <w:sz w:val="28"/>
          <w:highlight w:val="white"/>
        </w:rPr>
        <w:t>辆、执法执勤用车</w:t>
      </w:r>
      <w:r>
        <w:rPr>
          <w:rFonts w:hint="default" w:ascii="仿宋" w:hAnsi="仿宋" w:eastAsia="仿宋"/>
          <w:kern w:val="0"/>
          <w:sz w:val="28"/>
          <w:highlight w:val="white"/>
        </w:rPr>
        <w:t>0</w:t>
      </w:r>
      <w:r>
        <w:rPr>
          <w:rFonts w:hint="eastAsia" w:ascii="仿宋" w:hAnsi="仿宋" w:eastAsia="仿宋"/>
          <w:color w:val="000000"/>
          <w:sz w:val="28"/>
          <w:highlight w:val="white"/>
        </w:rPr>
        <w:t>辆、特种专业技术用车</w:t>
      </w:r>
      <w:r>
        <w:rPr>
          <w:rFonts w:hint="default" w:ascii="仿宋" w:hAnsi="仿宋" w:eastAsia="仿宋"/>
          <w:kern w:val="0"/>
          <w:sz w:val="28"/>
          <w:highlight w:val="white"/>
        </w:rPr>
        <w:t>0</w:t>
      </w:r>
      <w:r>
        <w:rPr>
          <w:rFonts w:hint="eastAsia" w:ascii="仿宋" w:hAnsi="仿宋" w:eastAsia="仿宋"/>
          <w:color w:val="000000"/>
          <w:sz w:val="28"/>
          <w:highlight w:val="white"/>
        </w:rPr>
        <w:t>辆、离退休干部用车</w:t>
      </w:r>
      <w:r>
        <w:rPr>
          <w:rFonts w:hint="default" w:ascii="仿宋" w:hAnsi="仿宋" w:eastAsia="仿宋"/>
          <w:kern w:val="0"/>
          <w:sz w:val="28"/>
          <w:highlight w:val="white"/>
        </w:rPr>
        <w:t>0</w:t>
      </w:r>
      <w:r>
        <w:rPr>
          <w:rFonts w:hint="eastAsia" w:ascii="仿宋" w:hAnsi="仿宋" w:eastAsia="仿宋"/>
          <w:color w:val="000000"/>
          <w:sz w:val="28"/>
          <w:highlight w:val="white"/>
        </w:rPr>
        <w:t>辆、其他用车</w:t>
      </w:r>
      <w:r>
        <w:rPr>
          <w:rFonts w:hint="default" w:ascii="仿宋" w:hAnsi="仿宋" w:eastAsia="仿宋"/>
          <w:kern w:val="0"/>
          <w:sz w:val="28"/>
          <w:highlight w:val="white"/>
        </w:rPr>
        <w:t>0</w:t>
      </w:r>
      <w:r>
        <w:rPr>
          <w:rFonts w:hint="eastAsia" w:ascii="仿宋" w:hAnsi="仿宋" w:eastAsia="仿宋"/>
          <w:color w:val="000000"/>
          <w:sz w:val="28"/>
          <w:highlight w:val="white"/>
        </w:rPr>
        <w:t>辆</w:t>
      </w:r>
      <w:r>
        <w:rPr>
          <w:rFonts w:hint="default" w:ascii="仿宋" w:hAnsi="仿宋" w:eastAsia="仿宋"/>
          <w:color w:val="000000"/>
          <w:sz w:val="28"/>
          <w:highlight w:val="white"/>
        </w:rPr>
        <w:t>,</w:t>
      </w:r>
      <w:r>
        <w:rPr>
          <w:rFonts w:hint="eastAsia" w:ascii="仿宋" w:hAnsi="仿宋" w:eastAsia="仿宋"/>
          <w:color w:val="000000"/>
          <w:sz w:val="28"/>
          <w:highlight w:val="white"/>
        </w:rPr>
        <w:t>其他用车主要是无；单价50万元以上通用设备</w:t>
      </w:r>
      <w:r>
        <w:rPr>
          <w:rFonts w:hint="default" w:ascii="仿宋" w:hAnsi="仿宋" w:eastAsia="仿宋"/>
          <w:kern w:val="0"/>
          <w:sz w:val="28"/>
          <w:highlight w:val="white"/>
        </w:rPr>
        <w:t>0</w:t>
      </w:r>
      <w:r>
        <w:rPr>
          <w:rFonts w:hint="eastAsia" w:ascii="仿宋" w:hAnsi="仿宋" w:eastAsia="仿宋"/>
          <w:color w:val="000000"/>
          <w:sz w:val="28"/>
          <w:highlight w:val="white"/>
        </w:rPr>
        <w:t>台（套），单价100万元以上专用设备</w:t>
      </w:r>
      <w:r>
        <w:rPr>
          <w:rFonts w:hint="default" w:ascii="仿宋" w:hAnsi="仿宋" w:eastAsia="仿宋"/>
          <w:kern w:val="0"/>
          <w:sz w:val="28"/>
          <w:highlight w:val="white"/>
        </w:rPr>
        <w:t>0</w:t>
      </w:r>
      <w:r>
        <w:rPr>
          <w:rFonts w:hint="eastAsia" w:ascii="仿宋" w:hAnsi="仿宋" w:eastAsia="仿宋"/>
          <w:color w:val="000000"/>
          <w:sz w:val="28"/>
          <w:highlight w:val="white"/>
        </w:rPr>
        <w:t xml:space="preserve">台（套）。 </w:t>
      </w:r>
    </w:p>
    <w:p>
      <w:pPr>
        <w:autoSpaceDE w:val="0"/>
        <w:autoSpaceDN w:val="0"/>
        <w:adjustRightInd w:val="0"/>
        <w:spacing w:beforeLines="0" w:afterLines="0" w:line="560" w:lineRule="exact"/>
        <w:ind w:firstLine="594"/>
        <w:rPr>
          <w:rFonts w:hint="default" w:ascii="仿宋" w:hAnsi="仿宋" w:eastAsia="仿宋"/>
          <w:color w:val="000000"/>
          <w:sz w:val="28"/>
          <w:highlight w:val="white"/>
        </w:rPr>
      </w:pPr>
      <w:r>
        <w:rPr>
          <w:rFonts w:hint="eastAsia" w:ascii="仿宋" w:hAnsi="仿宋" w:eastAsia="仿宋"/>
          <w:b/>
          <w:color w:val="000000"/>
          <w:sz w:val="28"/>
          <w:highlight w:val="white"/>
        </w:rPr>
        <w:t>（十三）预算绩效情况说明</w:t>
      </w:r>
    </w:p>
    <w:p>
      <w:pPr>
        <w:autoSpaceDE w:val="0"/>
        <w:autoSpaceDN w:val="0"/>
        <w:adjustRightInd w:val="0"/>
        <w:spacing w:beforeLines="0" w:afterLines="0" w:line="560" w:lineRule="exact"/>
        <w:ind w:firstLine="594"/>
        <w:rPr>
          <w:rFonts w:hint="default" w:ascii="仿宋" w:hAnsi="仿宋" w:eastAsia="仿宋"/>
          <w:color w:val="000000"/>
          <w:sz w:val="28"/>
          <w:highlight w:val="white"/>
        </w:rPr>
      </w:pPr>
      <w:r>
        <w:rPr>
          <w:rFonts w:hint="eastAsia" w:ascii="仿宋" w:hAnsi="仿宋" w:eastAsia="仿宋"/>
          <w:b/>
          <w:color w:val="000000"/>
          <w:sz w:val="28"/>
          <w:highlight w:val="white"/>
        </w:rPr>
        <w:t>1.预算绩效管理工作开展情况。</w:t>
      </w:r>
    </w:p>
    <w:p>
      <w:pPr>
        <w:autoSpaceDE w:val="0"/>
        <w:autoSpaceDN w:val="0"/>
        <w:adjustRightInd w:val="0"/>
        <w:spacing w:beforeLines="0" w:afterLines="0" w:line="560" w:lineRule="exact"/>
        <w:ind w:firstLine="594"/>
        <w:rPr>
          <w:rFonts w:hint="default" w:ascii="仿宋" w:hAnsi="仿宋" w:eastAsia="仿宋"/>
          <w:b/>
          <w:color w:val="FF0000"/>
          <w:sz w:val="28"/>
          <w:highlight w:val="white"/>
        </w:rPr>
      </w:pPr>
      <w:r>
        <w:rPr>
          <w:rFonts w:hint="eastAsia" w:ascii="仿宋" w:hAnsi="仿宋" w:eastAsia="仿宋"/>
          <w:color w:val="000000"/>
          <w:sz w:val="28"/>
          <w:highlight w:val="white"/>
        </w:rPr>
        <w:t>根据预算绩效管理要求，金华市自然资源和规划局金东分局组织对2020年度一般公共预算项目支出全面开展绩效自评，其中，一级项目</w:t>
      </w:r>
      <w:r>
        <w:rPr>
          <w:rFonts w:hint="default" w:ascii="仿宋" w:hAnsi="仿宋" w:eastAsia="仿宋"/>
          <w:color w:val="000000"/>
          <w:sz w:val="28"/>
          <w:highlight w:val="white"/>
        </w:rPr>
        <w:t>0</w:t>
      </w:r>
      <w:r>
        <w:rPr>
          <w:rFonts w:hint="eastAsia" w:ascii="仿宋" w:hAnsi="仿宋" w:eastAsia="仿宋"/>
          <w:color w:val="000000"/>
          <w:sz w:val="28"/>
          <w:highlight w:val="white"/>
        </w:rPr>
        <w:t>个，二级项目</w:t>
      </w:r>
      <w:r>
        <w:rPr>
          <w:rFonts w:hint="default" w:ascii="仿宋" w:hAnsi="仿宋" w:eastAsia="仿宋"/>
          <w:color w:val="000000"/>
          <w:sz w:val="28"/>
          <w:highlight w:val="white"/>
        </w:rPr>
        <w:t>0</w:t>
      </w:r>
      <w:r>
        <w:rPr>
          <w:rFonts w:hint="eastAsia" w:ascii="仿宋" w:hAnsi="仿宋" w:eastAsia="仿宋"/>
          <w:color w:val="000000"/>
          <w:sz w:val="28"/>
          <w:highlight w:val="white"/>
        </w:rPr>
        <w:t>个，共涉及资金</w:t>
      </w:r>
      <w:r>
        <w:rPr>
          <w:rFonts w:hint="default" w:ascii="仿宋" w:hAnsi="仿宋" w:eastAsia="仿宋"/>
          <w:color w:val="000000"/>
          <w:sz w:val="28"/>
          <w:highlight w:val="white"/>
        </w:rPr>
        <w:t>0</w:t>
      </w:r>
      <w:r>
        <w:rPr>
          <w:rFonts w:hint="eastAsia" w:ascii="仿宋" w:hAnsi="仿宋" w:eastAsia="仿宋"/>
          <w:color w:val="000000"/>
          <w:sz w:val="28"/>
          <w:highlight w:val="white"/>
        </w:rPr>
        <w:t>万元，占一般公共预算项目支出总额的0%。组织对2020年度</w:t>
      </w:r>
      <w:r>
        <w:rPr>
          <w:rFonts w:hint="eastAsia" w:ascii="仿宋" w:hAnsi="仿宋" w:eastAsia="仿宋"/>
          <w:color w:val="000000"/>
          <w:sz w:val="28"/>
          <w:highlight w:val="white"/>
          <w:shd w:val="pct10" w:color="auto" w:fill="FFFFFF"/>
        </w:rPr>
        <w:t>日常执法办案工作费、信息化运行维护费、管理工作经费</w:t>
      </w:r>
      <w:r>
        <w:rPr>
          <w:rFonts w:hint="eastAsia" w:ascii="仿宋" w:hAnsi="仿宋" w:eastAsia="仿宋"/>
          <w:color w:val="000000"/>
          <w:sz w:val="28"/>
          <w:highlight w:val="white"/>
        </w:rPr>
        <w:t>等3个政府性基金预算项目支出开展绩效自评，共涉及资金127.22万元，占政府性基金预算项目支出总额的100%。</w:t>
      </w:r>
    </w:p>
    <w:p>
      <w:pPr>
        <w:widowControl/>
        <w:spacing w:beforeLines="0" w:afterLines="0" w:line="560" w:lineRule="exact"/>
        <w:ind w:firstLine="594"/>
        <w:rPr>
          <w:rFonts w:hint="default" w:ascii="仿宋" w:hAnsi="仿宋" w:eastAsia="仿宋"/>
          <w:sz w:val="28"/>
        </w:rPr>
      </w:pPr>
      <w:r>
        <w:rPr>
          <w:rFonts w:hint="eastAsia" w:ascii="仿宋" w:hAnsi="仿宋" w:eastAsia="仿宋"/>
          <w:sz w:val="28"/>
        </w:rPr>
        <w:t>“本年无部门评价”。</w:t>
      </w:r>
    </w:p>
    <w:p>
      <w:pPr>
        <w:widowControl/>
        <w:spacing w:beforeLines="0" w:afterLines="0" w:line="560" w:lineRule="exact"/>
        <w:ind w:firstLine="594"/>
        <w:rPr>
          <w:rFonts w:hint="default" w:ascii="仿宋" w:hAnsi="仿宋" w:eastAsia="仿宋"/>
          <w:b/>
          <w:sz w:val="28"/>
        </w:rPr>
      </w:pPr>
      <w:r>
        <w:rPr>
          <w:rFonts w:hint="eastAsia" w:ascii="仿宋" w:hAnsi="仿宋" w:eastAsia="仿宋"/>
          <w:sz w:val="28"/>
        </w:rPr>
        <w:t>“本年无部门整体支出绩效评价”。</w:t>
      </w:r>
    </w:p>
    <w:p>
      <w:pPr>
        <w:widowControl/>
        <w:spacing w:beforeLines="0" w:afterLines="0" w:line="560" w:lineRule="exact"/>
        <w:ind w:firstLine="594"/>
        <w:rPr>
          <w:rFonts w:hint="default" w:ascii="仿宋" w:hAnsi="仿宋" w:eastAsia="仿宋"/>
          <w:sz w:val="28"/>
        </w:rPr>
      </w:pPr>
      <w:r>
        <w:rPr>
          <w:rFonts w:hint="eastAsia" w:ascii="仿宋" w:hAnsi="仿宋" w:eastAsia="仿宋"/>
          <w:sz w:val="28"/>
        </w:rPr>
        <w:t>“本年无下属部门或单位整体支出绩效评价”。</w:t>
      </w:r>
    </w:p>
    <w:p>
      <w:pPr>
        <w:autoSpaceDE w:val="0"/>
        <w:autoSpaceDN w:val="0"/>
        <w:adjustRightInd w:val="0"/>
        <w:spacing w:beforeLines="0" w:afterLines="0" w:line="560" w:lineRule="exact"/>
        <w:ind w:firstLine="658" w:firstLineChars="235"/>
        <w:rPr>
          <w:rFonts w:hint="default" w:ascii="仿宋" w:hAnsi="仿宋" w:eastAsia="仿宋"/>
          <w:color w:val="000000"/>
          <w:sz w:val="28"/>
          <w:highlight w:val="white"/>
        </w:rPr>
      </w:pPr>
      <w:r>
        <w:rPr>
          <w:rFonts w:hint="eastAsia" w:ascii="仿宋" w:hAnsi="仿宋" w:eastAsia="仿宋"/>
          <w:b/>
          <w:color w:val="000000"/>
          <w:sz w:val="28"/>
          <w:highlight w:val="white"/>
        </w:rPr>
        <w:t>2.单位决算中项目绩效自评结果</w:t>
      </w:r>
    </w:p>
    <w:p>
      <w:pPr>
        <w:autoSpaceDE w:val="0"/>
        <w:autoSpaceDN w:val="0"/>
        <w:adjustRightInd w:val="0"/>
        <w:spacing w:beforeLines="0" w:afterLines="0" w:line="560" w:lineRule="exact"/>
        <w:ind w:firstLine="594"/>
        <w:rPr>
          <w:rFonts w:hint="default" w:ascii="仿宋" w:hAnsi="仿宋" w:eastAsia="仿宋"/>
          <w:color w:val="000000"/>
          <w:sz w:val="28"/>
          <w:highlight w:val="white"/>
        </w:rPr>
      </w:pPr>
      <w:r>
        <w:rPr>
          <w:rFonts w:hint="eastAsia" w:ascii="仿宋" w:hAnsi="仿宋" w:eastAsia="仿宋"/>
          <w:color w:val="000000"/>
          <w:kern w:val="0"/>
          <w:sz w:val="28"/>
        </w:rPr>
        <w:t>金华市自然资源和规划局金东分局办公室在2020年度单位决算中反映</w:t>
      </w:r>
      <w:r>
        <w:rPr>
          <w:rFonts w:hint="eastAsia" w:ascii="仿宋" w:hAnsi="仿宋" w:eastAsia="仿宋"/>
          <w:color w:val="000000"/>
          <w:sz w:val="28"/>
          <w:highlight w:val="white"/>
          <w:shd w:val="pct10" w:color="auto" w:fill="FFFFFF"/>
        </w:rPr>
        <w:t>日常执法办案工作费</w:t>
      </w:r>
      <w:r>
        <w:rPr>
          <w:rFonts w:hint="eastAsia" w:ascii="仿宋" w:hAnsi="仿宋" w:eastAsia="仿宋"/>
          <w:color w:val="000000"/>
          <w:kern w:val="0"/>
          <w:sz w:val="28"/>
        </w:rPr>
        <w:t>支出项目绩效自评结果</w:t>
      </w:r>
      <w:r>
        <w:rPr>
          <w:rFonts w:hint="eastAsia" w:ascii="仿宋" w:hAnsi="仿宋" w:eastAsia="仿宋"/>
          <w:color w:val="000000"/>
          <w:sz w:val="28"/>
          <w:highlight w:val="white"/>
        </w:rPr>
        <w:t>。</w:t>
      </w:r>
    </w:p>
    <w:p>
      <w:pPr>
        <w:autoSpaceDE w:val="0"/>
        <w:autoSpaceDN w:val="0"/>
        <w:adjustRightInd w:val="0"/>
        <w:spacing w:beforeLines="0" w:afterLines="0" w:line="560" w:lineRule="exact"/>
        <w:ind w:firstLine="594"/>
        <w:rPr>
          <w:rFonts w:hint="default" w:ascii="仿宋" w:hAnsi="仿宋" w:eastAsia="仿宋"/>
          <w:kern w:val="0"/>
          <w:sz w:val="28"/>
        </w:rPr>
      </w:pPr>
      <w:r>
        <w:rPr>
          <w:rFonts w:hint="eastAsia" w:ascii="仿宋" w:hAnsi="仿宋" w:eastAsia="仿宋"/>
          <w:color w:val="000000"/>
          <w:sz w:val="28"/>
          <w:highlight w:val="white"/>
          <w:shd w:val="pct10" w:color="auto" w:fill="FFFFFF"/>
        </w:rPr>
        <w:t>日常执法办案工作费</w:t>
      </w:r>
      <w:r>
        <w:rPr>
          <w:rFonts w:hint="eastAsia" w:ascii="仿宋" w:hAnsi="仿宋" w:eastAsia="仿宋"/>
          <w:color w:val="000000"/>
          <w:sz w:val="28"/>
          <w:shd w:val="pct10" w:color="auto" w:fill="FFFFFF"/>
        </w:rPr>
        <w:t>、</w:t>
      </w:r>
      <w:r>
        <w:rPr>
          <w:rFonts w:hint="eastAsia" w:ascii="仿宋" w:hAnsi="仿宋" w:eastAsia="仿宋"/>
          <w:kern w:val="0"/>
          <w:sz w:val="28"/>
        </w:rPr>
        <w:t>信息化系统维护经费项目</w:t>
      </w:r>
      <w:r>
        <w:rPr>
          <w:rFonts w:hint="eastAsia" w:ascii="仿宋" w:hAnsi="仿宋" w:eastAsia="仿宋"/>
          <w:sz w:val="28"/>
        </w:rPr>
        <w:t>支出绩效自评综述：根据年初设定的绩效目标，项目自评得分95分，自评结论为“优”。项目全年预算数为35.00万元，执行数为35.00万元，完成预算的100%。项目绩效目标完成情况：</w:t>
      </w:r>
      <w:r>
        <w:rPr>
          <w:rFonts w:hint="eastAsia" w:ascii="仿宋" w:hAnsi="仿宋" w:eastAsia="仿宋"/>
          <w:kern w:val="0"/>
          <w:sz w:val="28"/>
        </w:rPr>
        <w:t>2020年我们立案查处土地案件15宗，矿产1宗，处理信访调查84宗，其中矿产案件以涉嫌非法采矿罪移送金东公安处理。2019年四季度卫片执法检查涉及我区图斑394个，总面积10031.6亩，耕地面积2517.61亩。其中：合法图斑260个，总面积8692.39亩，耕地面积1952.3亩；伪变化图斑115个，总面积1267.71亩，耕地面积568.11亩；违法图斑19个，总面积71.5亩，耕地面积1.2亩，永农面积0.4亩，违法耕占比为0.06%。</w:t>
      </w:r>
      <w:r>
        <w:rPr>
          <w:rFonts w:hint="eastAsia" w:ascii="仿宋" w:hAnsi="仿宋" w:eastAsia="仿宋"/>
          <w:sz w:val="28"/>
        </w:rPr>
        <w:t>发现的问题及原因：一是</w:t>
      </w:r>
      <w:r>
        <w:rPr>
          <w:rFonts w:hint="eastAsia" w:ascii="仿宋" w:hAnsi="仿宋" w:eastAsia="仿宋"/>
          <w:kern w:val="0"/>
          <w:sz w:val="28"/>
        </w:rPr>
        <w:t>从近几年的土地卫片数据来看，企业违法逐渐减少，违法数量总体减少。二是公建项目和村委会公共设施违法较多，将加强违法用地监管。</w:t>
      </w:r>
      <w:r>
        <w:rPr>
          <w:rFonts w:hint="eastAsia" w:ascii="仿宋" w:hAnsi="仿宋" w:eastAsia="仿宋"/>
          <w:color w:val="000000"/>
          <w:sz w:val="28"/>
          <w:highlight w:val="white"/>
        </w:rPr>
        <w:t>下一步改进措施：</w:t>
      </w:r>
      <w:r>
        <w:rPr>
          <w:rFonts w:hint="eastAsia" w:ascii="仿宋" w:hAnsi="仿宋" w:eastAsia="仿宋"/>
          <w:kern w:val="0"/>
          <w:sz w:val="28"/>
        </w:rPr>
        <w:t>将根据违法趋势合理安排，加强信访化解。</w:t>
      </w:r>
    </w:p>
    <w:p>
      <w:pPr>
        <w:widowControl/>
        <w:spacing w:beforeLines="0" w:afterLines="0" w:line="560" w:lineRule="exact"/>
        <w:ind w:firstLine="560" w:firstLineChars="200"/>
        <w:jc w:val="center"/>
        <w:rPr>
          <w:rFonts w:hint="default" w:ascii="仿宋" w:hAnsi="仿宋" w:eastAsia="仿宋"/>
          <w:b/>
          <w:kern w:val="0"/>
          <w:sz w:val="28"/>
        </w:rPr>
      </w:pPr>
      <w:r>
        <w:rPr>
          <w:rFonts w:hint="eastAsia" w:ascii="仿宋" w:hAnsi="仿宋" w:eastAsia="仿宋"/>
          <w:b/>
          <w:kern w:val="0"/>
          <w:sz w:val="28"/>
        </w:rPr>
        <w:t>金华市本级财政支出项目绩效自评表</w:t>
      </w:r>
    </w:p>
    <w:p>
      <w:pPr>
        <w:widowControl/>
        <w:spacing w:beforeLines="0" w:afterLines="0" w:line="560" w:lineRule="exact"/>
        <w:jc w:val="center"/>
        <w:rPr>
          <w:rFonts w:hint="default" w:ascii="仿宋" w:hAnsi="仿宋" w:eastAsia="仿宋"/>
          <w:b/>
          <w:kern w:val="0"/>
          <w:sz w:val="28"/>
        </w:rPr>
      </w:pPr>
      <w:r>
        <w:rPr>
          <w:rFonts w:hint="eastAsia" w:ascii="仿宋" w:hAnsi="仿宋" w:eastAsia="仿宋"/>
          <w:b/>
          <w:kern w:val="0"/>
          <w:sz w:val="28"/>
        </w:rPr>
        <w:t>（2020年度）</w:t>
      </w:r>
    </w:p>
    <w:p>
      <w:pPr>
        <w:widowControl/>
        <w:spacing w:beforeLines="0" w:afterLines="0" w:line="560" w:lineRule="exact"/>
        <w:rPr>
          <w:rFonts w:hint="default" w:ascii="仿宋" w:hAnsi="仿宋" w:eastAsia="仿宋"/>
          <w:kern w:val="0"/>
          <w:sz w:val="24"/>
        </w:rPr>
      </w:pPr>
      <w:r>
        <w:rPr>
          <w:rFonts w:hint="eastAsia" w:ascii="仿宋" w:hAnsi="仿宋" w:eastAsia="仿宋"/>
          <w:kern w:val="0"/>
          <w:sz w:val="24"/>
        </w:rPr>
        <w:t>实施单位（盖章）：</w:t>
      </w:r>
    </w:p>
    <w:tbl>
      <w:tblPr>
        <w:tblStyle w:val="7"/>
        <w:tblW w:w="991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1"/>
        <w:gridCol w:w="709"/>
        <w:gridCol w:w="296"/>
        <w:gridCol w:w="413"/>
        <w:gridCol w:w="1387"/>
        <w:gridCol w:w="739"/>
        <w:gridCol w:w="1267"/>
        <w:gridCol w:w="1001"/>
        <w:gridCol w:w="850"/>
        <w:gridCol w:w="208"/>
        <w:gridCol w:w="501"/>
        <w:gridCol w:w="18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exact"/>
          <w:jc w:val="center"/>
        </w:trPr>
        <w:tc>
          <w:tcPr>
            <w:tcW w:w="1676"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项目名称</w:t>
            </w:r>
          </w:p>
        </w:tc>
        <w:tc>
          <w:tcPr>
            <w:tcW w:w="8238" w:type="dxa"/>
            <w:gridSpan w:val="9"/>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ind w:firstLine="2160" w:firstLineChars="900"/>
              <w:rPr>
                <w:rFonts w:hint="default" w:ascii="仿宋" w:hAnsi="仿宋" w:eastAsia="仿宋"/>
                <w:kern w:val="0"/>
                <w:sz w:val="24"/>
              </w:rPr>
            </w:pPr>
            <w:r>
              <w:rPr>
                <w:rFonts w:hint="eastAsia" w:ascii="仿宋" w:hAnsi="仿宋" w:eastAsia="仿宋"/>
                <w:kern w:val="0"/>
                <w:sz w:val="24"/>
              </w:rPr>
              <w:t>土地矿产卫片及日常执法监察工作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2" w:hRule="exact"/>
          <w:jc w:val="center"/>
        </w:trPr>
        <w:tc>
          <w:tcPr>
            <w:tcW w:w="1676"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主管部门</w:t>
            </w:r>
          </w:p>
        </w:tc>
        <w:tc>
          <w:tcPr>
            <w:tcW w:w="3806" w:type="dxa"/>
            <w:gridSpan w:val="4"/>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rPr>
                <w:rFonts w:hint="default" w:ascii="仿宋" w:hAnsi="仿宋" w:eastAsia="仿宋"/>
                <w:kern w:val="0"/>
                <w:sz w:val="24"/>
              </w:rPr>
            </w:pPr>
            <w:r>
              <w:rPr>
                <w:rFonts w:hint="eastAsia" w:ascii="仿宋" w:hAnsi="仿宋" w:eastAsia="仿宋"/>
                <w:kern w:val="0"/>
                <w:sz w:val="24"/>
              </w:rPr>
              <w:t>金华市自然资源和规划局</w:t>
            </w:r>
          </w:p>
        </w:tc>
        <w:tc>
          <w:tcPr>
            <w:tcW w:w="2059" w:type="dxa"/>
            <w:gridSpan w:val="3"/>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实施单位</w:t>
            </w:r>
          </w:p>
        </w:tc>
        <w:tc>
          <w:tcPr>
            <w:tcW w:w="2373" w:type="dxa"/>
            <w:gridSpan w:val="2"/>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rPr>
                <w:rFonts w:hint="default" w:ascii="仿宋" w:hAnsi="仿宋" w:eastAsia="仿宋"/>
                <w:color w:val="000000"/>
                <w:kern w:val="0"/>
                <w:sz w:val="24"/>
              </w:rPr>
            </w:pPr>
            <w:r>
              <w:rPr>
                <w:rFonts w:hint="eastAsia" w:ascii="仿宋" w:hAnsi="仿宋" w:eastAsia="仿宋"/>
                <w:color w:val="000000"/>
                <w:kern w:val="0"/>
                <w:sz w:val="24"/>
              </w:rPr>
              <w:t>金华市自然资源和规划局金东区分局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exact"/>
          <w:jc w:val="center"/>
        </w:trPr>
        <w:tc>
          <w:tcPr>
            <w:tcW w:w="1676"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起止时间</w:t>
            </w:r>
          </w:p>
        </w:tc>
        <w:tc>
          <w:tcPr>
            <w:tcW w:w="8238" w:type="dxa"/>
            <w:gridSpan w:val="9"/>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jc w:val="center"/>
              <w:rPr>
                <w:rFonts w:hint="default" w:ascii="仿宋" w:hAnsi="仿宋" w:eastAsia="仿宋"/>
                <w:color w:val="000000"/>
                <w:kern w:val="0"/>
                <w:sz w:val="24"/>
              </w:rPr>
            </w:pPr>
            <w:r>
              <w:rPr>
                <w:rFonts w:hint="eastAsia" w:ascii="仿宋" w:hAnsi="仿宋" w:eastAsia="仿宋"/>
                <w:sz w:val="24"/>
              </w:rPr>
              <w:t>2020.1.1～2020.12.31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5" w:hRule="exact"/>
          <w:jc w:val="center"/>
        </w:trPr>
        <w:tc>
          <w:tcPr>
            <w:tcW w:w="1676"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项目负责人</w:t>
            </w:r>
          </w:p>
        </w:tc>
        <w:tc>
          <w:tcPr>
            <w:tcW w:w="3806" w:type="dxa"/>
            <w:gridSpan w:val="4"/>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徐晓明</w:t>
            </w:r>
          </w:p>
        </w:tc>
        <w:tc>
          <w:tcPr>
            <w:tcW w:w="2059" w:type="dxa"/>
            <w:gridSpan w:val="3"/>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联系电话</w:t>
            </w:r>
          </w:p>
        </w:tc>
        <w:tc>
          <w:tcPr>
            <w:tcW w:w="2373" w:type="dxa"/>
            <w:gridSpan w:val="2"/>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color w:val="000000"/>
                <w:sz w:val="24"/>
              </w:rPr>
              <w:t>0579-82065595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4" w:hRule="atLeast"/>
          <w:jc w:val="center"/>
        </w:trPr>
        <w:tc>
          <w:tcPr>
            <w:tcW w:w="1676" w:type="dxa"/>
            <w:gridSpan w:val="3"/>
            <w:vMerge w:val="restart"/>
            <w:tcBorders>
              <w:top w:val="single" w:color="000000" w:sz="4" w:space="0"/>
              <w:left w:val="single" w:color="000000" w:sz="4" w:space="0"/>
              <w:bottom w:val="nil"/>
              <w:right w:val="single" w:color="000000"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项目资金（万元）</w:t>
            </w:r>
          </w:p>
        </w:tc>
        <w:tc>
          <w:tcPr>
            <w:tcW w:w="1800" w:type="dxa"/>
            <w:gridSpan w:val="2"/>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jc w:val="center"/>
              <w:rPr>
                <w:rFonts w:hint="default" w:ascii="仿宋" w:hAnsi="仿宋" w:eastAsia="仿宋"/>
                <w:kern w:val="0"/>
                <w:sz w:val="24"/>
              </w:rPr>
            </w:pPr>
          </w:p>
        </w:tc>
        <w:tc>
          <w:tcPr>
            <w:tcW w:w="2006" w:type="dxa"/>
            <w:gridSpan w:val="2"/>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年初预算数</w:t>
            </w:r>
          </w:p>
        </w:tc>
        <w:tc>
          <w:tcPr>
            <w:tcW w:w="2059" w:type="dxa"/>
            <w:gridSpan w:val="3"/>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全年预算数</w:t>
            </w:r>
          </w:p>
        </w:tc>
        <w:tc>
          <w:tcPr>
            <w:tcW w:w="2373" w:type="dxa"/>
            <w:gridSpan w:val="2"/>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全年执行数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9" w:hRule="atLeast"/>
          <w:jc w:val="center"/>
        </w:trPr>
        <w:tc>
          <w:tcPr>
            <w:tcW w:w="1676" w:type="dxa"/>
            <w:gridSpan w:val="3"/>
            <w:vMerge w:val="continue"/>
            <w:tcBorders>
              <w:top w:val="nil"/>
              <w:left w:val="single" w:color="000000" w:sz="4" w:space="0"/>
              <w:bottom w:val="nil"/>
              <w:right w:val="single" w:color="000000" w:sz="4" w:space="0"/>
              <w:tl2br w:val="nil"/>
              <w:tr2bl w:val="nil"/>
            </w:tcBorders>
            <w:vAlign w:val="center"/>
          </w:tcPr>
          <w:p>
            <w:pPr>
              <w:widowControl/>
              <w:spacing w:beforeLines="0" w:afterLines="0"/>
              <w:jc w:val="center"/>
              <w:rPr>
                <w:rFonts w:hint="default" w:ascii="仿宋" w:hAnsi="仿宋" w:eastAsia="仿宋"/>
                <w:sz w:val="24"/>
              </w:rPr>
            </w:pPr>
          </w:p>
        </w:tc>
        <w:tc>
          <w:tcPr>
            <w:tcW w:w="1800" w:type="dxa"/>
            <w:gridSpan w:val="2"/>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jc w:val="left"/>
              <w:rPr>
                <w:rFonts w:hint="default" w:ascii="仿宋" w:hAnsi="仿宋" w:eastAsia="仿宋"/>
                <w:sz w:val="24"/>
              </w:rPr>
            </w:pPr>
            <w:r>
              <w:rPr>
                <w:rFonts w:hint="eastAsia" w:ascii="仿宋" w:hAnsi="仿宋" w:eastAsia="仿宋"/>
                <w:sz w:val="24"/>
              </w:rPr>
              <w:t>年度资金总额</w:t>
            </w:r>
          </w:p>
        </w:tc>
        <w:tc>
          <w:tcPr>
            <w:tcW w:w="2006" w:type="dxa"/>
            <w:gridSpan w:val="2"/>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jc w:val="center"/>
              <w:rPr>
                <w:rFonts w:hint="eastAsia" w:ascii="仿宋" w:hAnsi="仿宋" w:eastAsia="仿宋"/>
                <w:sz w:val="24"/>
              </w:rPr>
            </w:pPr>
            <w:r>
              <w:rPr>
                <w:rFonts w:hint="eastAsia" w:ascii="仿宋" w:hAnsi="仿宋" w:eastAsia="仿宋"/>
                <w:sz w:val="24"/>
              </w:rPr>
              <w:t>35</w:t>
            </w:r>
          </w:p>
        </w:tc>
        <w:tc>
          <w:tcPr>
            <w:tcW w:w="2059" w:type="dxa"/>
            <w:gridSpan w:val="3"/>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jc w:val="center"/>
              <w:rPr>
                <w:rFonts w:hint="eastAsia" w:ascii="仿宋" w:hAnsi="仿宋" w:eastAsia="仿宋"/>
                <w:sz w:val="24"/>
              </w:rPr>
            </w:pPr>
            <w:r>
              <w:rPr>
                <w:rFonts w:hint="eastAsia" w:ascii="仿宋" w:hAnsi="仿宋" w:eastAsia="仿宋"/>
                <w:sz w:val="24"/>
              </w:rPr>
              <w:t>35</w:t>
            </w:r>
          </w:p>
        </w:tc>
        <w:tc>
          <w:tcPr>
            <w:tcW w:w="2373" w:type="dxa"/>
            <w:gridSpan w:val="2"/>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1676" w:type="dxa"/>
            <w:gridSpan w:val="3"/>
            <w:vMerge w:val="continue"/>
            <w:tcBorders>
              <w:top w:val="nil"/>
              <w:left w:val="single" w:color="000000" w:sz="4" w:space="0"/>
              <w:bottom w:val="nil"/>
              <w:right w:val="single" w:color="000000" w:sz="4" w:space="0"/>
              <w:tl2br w:val="nil"/>
              <w:tr2bl w:val="nil"/>
            </w:tcBorders>
            <w:vAlign w:val="center"/>
          </w:tcPr>
          <w:p>
            <w:pPr>
              <w:widowControl/>
              <w:spacing w:beforeLines="0" w:afterLines="0"/>
              <w:jc w:val="center"/>
              <w:rPr>
                <w:rFonts w:hint="default" w:ascii="仿宋" w:hAnsi="仿宋" w:eastAsia="仿宋"/>
                <w:kern w:val="0"/>
                <w:sz w:val="24"/>
              </w:rPr>
            </w:pPr>
          </w:p>
        </w:tc>
        <w:tc>
          <w:tcPr>
            <w:tcW w:w="1800" w:type="dxa"/>
            <w:gridSpan w:val="2"/>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其中：市本级</w:t>
            </w:r>
          </w:p>
          <w:p>
            <w:pPr>
              <w:widowControl/>
              <w:spacing w:beforeLines="0" w:afterLines="0"/>
              <w:rPr>
                <w:rFonts w:hint="default" w:ascii="仿宋" w:hAnsi="仿宋" w:eastAsia="仿宋"/>
                <w:kern w:val="0"/>
                <w:sz w:val="24"/>
              </w:rPr>
            </w:pPr>
            <w:r>
              <w:rPr>
                <w:rFonts w:hint="eastAsia" w:ascii="仿宋" w:hAnsi="仿宋" w:eastAsia="仿宋"/>
                <w:kern w:val="0"/>
                <w:sz w:val="24"/>
              </w:rPr>
              <w:t>安排资金</w:t>
            </w:r>
          </w:p>
        </w:tc>
        <w:tc>
          <w:tcPr>
            <w:tcW w:w="2006" w:type="dxa"/>
            <w:gridSpan w:val="2"/>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jc w:val="center"/>
              <w:rPr>
                <w:rFonts w:hint="eastAsia" w:ascii="仿宋" w:hAnsi="仿宋" w:eastAsia="仿宋"/>
                <w:sz w:val="24"/>
              </w:rPr>
            </w:pPr>
            <w:r>
              <w:rPr>
                <w:rFonts w:hint="eastAsia" w:ascii="仿宋" w:hAnsi="仿宋" w:eastAsia="仿宋"/>
                <w:sz w:val="24"/>
              </w:rPr>
              <w:t>35</w:t>
            </w:r>
          </w:p>
        </w:tc>
        <w:tc>
          <w:tcPr>
            <w:tcW w:w="2059" w:type="dxa"/>
            <w:gridSpan w:val="3"/>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35</w:t>
            </w:r>
          </w:p>
        </w:tc>
        <w:tc>
          <w:tcPr>
            <w:tcW w:w="2373" w:type="dxa"/>
            <w:gridSpan w:val="2"/>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671" w:type="dxa"/>
            <w:vMerge w:val="restart"/>
            <w:tcBorders>
              <w:top w:val="single" w:color="000000" w:sz="4" w:space="0"/>
              <w:left w:val="single" w:color="000000" w:sz="4" w:space="0"/>
              <w:bottom w:val="nil"/>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r>
              <w:rPr>
                <w:rFonts w:hint="eastAsia" w:ascii="仿宋" w:hAnsi="仿宋" w:eastAsia="仿宋"/>
                <w:kern w:val="0"/>
                <w:sz w:val="24"/>
              </w:rPr>
              <w:t>年度总体目标</w:t>
            </w:r>
          </w:p>
        </w:tc>
        <w:tc>
          <w:tcPr>
            <w:tcW w:w="4811" w:type="dxa"/>
            <w:gridSpan w:val="6"/>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预期目标</w:t>
            </w:r>
          </w:p>
        </w:tc>
        <w:tc>
          <w:tcPr>
            <w:tcW w:w="4432" w:type="dxa"/>
            <w:gridSpan w:val="5"/>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8" w:hRule="atLeast"/>
          <w:jc w:val="center"/>
        </w:trPr>
        <w:tc>
          <w:tcPr>
            <w:tcW w:w="671" w:type="dxa"/>
            <w:vMerge w:val="continue"/>
            <w:tcBorders>
              <w:top w:val="nil"/>
              <w:left w:val="single" w:color="000000" w:sz="4" w:space="0"/>
              <w:bottom w:val="single" w:color="auto" w:sz="4" w:space="0"/>
              <w:right w:val="single" w:color="000000" w:sz="4" w:space="0"/>
              <w:tl2br w:val="nil"/>
              <w:tr2bl w:val="nil"/>
            </w:tcBorders>
            <w:vAlign w:val="center"/>
          </w:tcPr>
          <w:p>
            <w:pPr>
              <w:widowControl/>
              <w:spacing w:beforeLines="0" w:afterLines="0"/>
              <w:jc w:val="center"/>
              <w:rPr>
                <w:rFonts w:hint="default" w:ascii="仿宋" w:hAnsi="仿宋" w:eastAsia="仿宋"/>
                <w:kern w:val="0"/>
                <w:sz w:val="24"/>
              </w:rPr>
            </w:pPr>
          </w:p>
        </w:tc>
        <w:tc>
          <w:tcPr>
            <w:tcW w:w="4811" w:type="dxa"/>
            <w:gridSpan w:val="6"/>
            <w:tcBorders>
              <w:top w:val="single" w:color="000000" w:sz="4" w:space="0"/>
              <w:left w:val="single" w:color="000000" w:sz="4" w:space="0"/>
              <w:bottom w:val="single" w:color="auto" w:sz="4" w:space="0"/>
              <w:right w:val="single" w:color="000000"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通过开展2020年土地矿产卫片及日常执法监察工作，发现、制止和查处违法用地、违法勘查开采矿产资源行为；根据检查结果，评估金东区自然资源管理秩序状况，对违法用地、违法勘查开采矿产资源严重地区的政府主要负责人进行约谈，督促整改；通过不断创新和持续努力，使违法违规用地、违法勘查开采矿产资源的势头得到有效遏制。</w:t>
            </w:r>
          </w:p>
        </w:tc>
        <w:tc>
          <w:tcPr>
            <w:tcW w:w="4432" w:type="dxa"/>
            <w:gridSpan w:val="5"/>
            <w:tcBorders>
              <w:top w:val="single" w:color="000000" w:sz="4" w:space="0"/>
              <w:left w:val="single" w:color="000000" w:sz="4" w:space="0"/>
              <w:bottom w:val="single" w:color="auto" w:sz="4" w:space="0"/>
              <w:right w:val="single" w:color="000000" w:sz="4" w:space="0"/>
              <w:tl2br w:val="nil"/>
              <w:tr2bl w:val="nil"/>
            </w:tcBorders>
            <w:vAlign w:val="center"/>
          </w:tcPr>
          <w:p>
            <w:pPr>
              <w:spacing w:beforeLines="0" w:afterLines="0"/>
              <w:ind w:firstLine="480" w:firstLineChars="200"/>
              <w:rPr>
                <w:rFonts w:hint="default" w:ascii="仿宋" w:hAnsi="仿宋" w:eastAsia="仿宋"/>
                <w:kern w:val="0"/>
                <w:sz w:val="24"/>
              </w:rPr>
            </w:pPr>
            <w:r>
              <w:rPr>
                <w:rFonts w:hint="eastAsia" w:ascii="仿宋" w:hAnsi="仿宋" w:eastAsia="仿宋"/>
                <w:kern w:val="0"/>
                <w:sz w:val="24"/>
              </w:rPr>
              <w:t>2020年我们立案查处土地案件15宗，矿产1宗，处理信访调查84宗，其中矿产案件以涉嫌非法采矿罪移送金东公安处理。2019年四季度卫片执法检查涉及我区图斑394个，总面积10031.6亩，耕地面积2517.61亩。其中：合法图斑260个，总面积8692.39亩，耕地面积1952.3亩；伪变化图斑115个，总面积1267.71亩，耕地面积568.11亩；违法图斑19个，总面积71.5亩，耕地面积1.2亩，永农面积0.4亩，违法耕占比为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9" w:hRule="atLeast"/>
          <w:jc w:val="center"/>
        </w:trPr>
        <w:tc>
          <w:tcPr>
            <w:tcW w:w="67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绩 效 指 标</w:t>
            </w: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一级 指标</w:t>
            </w:r>
          </w:p>
        </w:tc>
        <w:tc>
          <w:tcPr>
            <w:tcW w:w="709"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二级指标</w:t>
            </w:r>
          </w:p>
        </w:tc>
        <w:tc>
          <w:tcPr>
            <w:tcW w:w="212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三级指标</w:t>
            </w:r>
          </w:p>
        </w:tc>
        <w:tc>
          <w:tcPr>
            <w:tcW w:w="126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年度指标值</w:t>
            </w:r>
          </w:p>
        </w:tc>
        <w:tc>
          <w:tcPr>
            <w:tcW w:w="10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实际完成值</w:t>
            </w:r>
          </w:p>
        </w:tc>
        <w:tc>
          <w:tcPr>
            <w:tcW w:w="8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指标分值</w:t>
            </w:r>
          </w:p>
        </w:tc>
        <w:tc>
          <w:tcPr>
            <w:tcW w:w="709"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自评得分</w:t>
            </w:r>
          </w:p>
        </w:tc>
        <w:tc>
          <w:tcPr>
            <w:tcW w:w="187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left"/>
              <w:rPr>
                <w:rFonts w:hint="default" w:ascii="仿宋" w:hAnsi="仿宋" w:eastAsia="仿宋"/>
                <w:kern w:val="0"/>
                <w:sz w:val="24"/>
              </w:rPr>
            </w:pPr>
            <w:r>
              <w:rPr>
                <w:rFonts w:hint="eastAsia" w:ascii="仿宋" w:hAnsi="仿宋" w:eastAsia="仿宋"/>
                <w:kern w:val="0"/>
                <w:sz w:val="24"/>
              </w:rPr>
              <w:t>偏差原因分析及改进措施</w:t>
            </w:r>
            <w:r>
              <w:rPr>
                <w:rFonts w:hint="eastAsia" w:ascii="仿宋" w:hAnsi="仿宋" w:eastAsia="仿宋"/>
                <w:b/>
                <w:kern w:val="0"/>
                <w:sz w:val="24"/>
              </w:rPr>
              <w:t>（必填项，可另附说明）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61" w:hRule="atLeast"/>
          <w:jc w:val="center"/>
        </w:trPr>
        <w:tc>
          <w:tcPr>
            <w:tcW w:w="67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仿宋" w:hAnsi="仿宋" w:eastAsia="仿宋"/>
                <w:sz w:val="24"/>
              </w:rPr>
            </w:pPr>
          </w:p>
        </w:tc>
        <w:tc>
          <w:tcPr>
            <w:tcW w:w="70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rPr>
                <w:rFonts w:hint="default" w:ascii="仿宋" w:hAnsi="仿宋" w:eastAsia="仿宋"/>
                <w:kern w:val="0"/>
                <w:sz w:val="24"/>
              </w:rPr>
            </w:pPr>
            <w:r>
              <w:rPr>
                <w:rFonts w:hint="eastAsia" w:ascii="仿宋" w:hAnsi="仿宋" w:eastAsia="仿宋"/>
                <w:kern w:val="0"/>
                <w:sz w:val="24"/>
              </w:rPr>
              <w:t>产出指标（50分）</w:t>
            </w:r>
          </w:p>
        </w:tc>
        <w:tc>
          <w:tcPr>
            <w:tcW w:w="709"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rPr>
                <w:rFonts w:hint="default" w:ascii="仿宋" w:hAnsi="仿宋" w:eastAsia="仿宋"/>
                <w:kern w:val="0"/>
                <w:sz w:val="24"/>
              </w:rPr>
            </w:pPr>
            <w:r>
              <w:rPr>
                <w:rFonts w:hint="eastAsia" w:ascii="仿宋" w:hAnsi="仿宋" w:eastAsia="仿宋"/>
                <w:kern w:val="0"/>
                <w:sz w:val="24"/>
              </w:rPr>
              <w:t>数量指标</w:t>
            </w:r>
          </w:p>
        </w:tc>
        <w:tc>
          <w:tcPr>
            <w:tcW w:w="3393"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rPr>
                <w:rFonts w:hint="default" w:ascii="仿宋" w:hAnsi="仿宋" w:eastAsia="仿宋"/>
                <w:kern w:val="0"/>
                <w:sz w:val="24"/>
              </w:rPr>
            </w:pPr>
            <w:r>
              <w:rPr>
                <w:rFonts w:hint="eastAsia" w:ascii="仿宋" w:hAnsi="仿宋" w:eastAsia="仿宋"/>
                <w:kern w:val="0"/>
                <w:sz w:val="24"/>
              </w:rPr>
              <w:t>2020年我们立案查处土地案件15宗，矿产1宗，处理信访调查84宗，其中矿产案件以涉嫌非法采矿罪移送金东公安处理。2019年四季度卫片执法检查涉及我区图斑394个，总面积10031.6亩，耕地面积2517.61亩。其中：合法图斑260个，总面积8692.39亩，耕地面积1952.3亩；伪变化图斑115个，总面积1267.71亩，耕地面积568.11亩；违法图斑19个，总面积71.5亩，耕地面积1.2亩，永农面积0.4亩，违法耕占比为0.06%。</w:t>
            </w:r>
          </w:p>
        </w:tc>
        <w:tc>
          <w:tcPr>
            <w:tcW w:w="10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95%</w:t>
            </w:r>
          </w:p>
        </w:tc>
        <w:tc>
          <w:tcPr>
            <w:tcW w:w="8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15</w:t>
            </w:r>
          </w:p>
        </w:tc>
        <w:tc>
          <w:tcPr>
            <w:tcW w:w="709"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13</w:t>
            </w:r>
          </w:p>
        </w:tc>
        <w:tc>
          <w:tcPr>
            <w:tcW w:w="187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rPr>
                <w:rFonts w:hint="default" w:ascii="仿宋" w:hAnsi="仿宋" w:eastAsia="仿宋"/>
                <w:kern w:val="0"/>
                <w:sz w:val="24"/>
              </w:rPr>
            </w:pPr>
            <w:r>
              <w:rPr>
                <w:rFonts w:hint="eastAsia" w:ascii="仿宋" w:hAnsi="仿宋" w:eastAsia="仿宋"/>
                <w:kern w:val="0"/>
                <w:sz w:val="24"/>
              </w:rPr>
              <w:t>从近几年的土地卫片数据来看，企业违法逐渐减少，违法数量总体减少。将根据违法趋势合理安排。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46" w:hRule="atLeast"/>
          <w:jc w:val="center"/>
        </w:trPr>
        <w:tc>
          <w:tcPr>
            <w:tcW w:w="67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仿宋" w:hAnsi="仿宋" w:eastAsia="仿宋"/>
                <w:sz w:val="24"/>
              </w:rPr>
            </w:pPr>
          </w:p>
        </w:tc>
        <w:tc>
          <w:tcPr>
            <w:tcW w:w="709" w:type="dxa"/>
            <w:vMerge w:val="continue"/>
            <w:tcBorders>
              <w:top w:val="single" w:color="auto" w:sz="4" w:space="0"/>
              <w:left w:val="single" w:color="auto" w:sz="4" w:space="0"/>
              <w:bottom w:val="single" w:color="000000" w:sz="4" w:space="0"/>
              <w:right w:val="single" w:color="000000" w:sz="4" w:space="0"/>
              <w:tl2br w:val="nil"/>
              <w:tr2bl w:val="nil"/>
            </w:tcBorders>
            <w:vAlign w:val="center"/>
          </w:tcPr>
          <w:p>
            <w:pPr>
              <w:widowControl/>
              <w:spacing w:beforeLines="0" w:afterLines="0"/>
              <w:rPr>
                <w:rFonts w:hint="default" w:ascii="仿宋" w:hAnsi="仿宋" w:eastAsia="仿宋"/>
                <w:kern w:val="0"/>
                <w:sz w:val="24"/>
              </w:rPr>
            </w:pPr>
          </w:p>
        </w:tc>
        <w:tc>
          <w:tcPr>
            <w:tcW w:w="709" w:type="dxa"/>
            <w:gridSpan w:val="2"/>
            <w:tcBorders>
              <w:top w:val="single" w:color="auto" w:sz="4" w:space="0"/>
              <w:left w:val="single" w:color="000000" w:sz="4" w:space="0"/>
              <w:bottom w:val="nil"/>
              <w:right w:val="single" w:color="000000" w:sz="4" w:space="0"/>
              <w:tl2br w:val="nil"/>
              <w:tr2bl w:val="nil"/>
            </w:tcBorders>
            <w:vAlign w:val="center"/>
          </w:tcPr>
          <w:p>
            <w:pPr>
              <w:widowControl/>
              <w:spacing w:beforeLines="0" w:afterLines="0"/>
              <w:rPr>
                <w:rFonts w:hint="default" w:ascii="仿宋" w:hAnsi="仿宋" w:eastAsia="仿宋"/>
                <w:kern w:val="0"/>
                <w:sz w:val="24"/>
              </w:rPr>
            </w:pPr>
            <w:r>
              <w:rPr>
                <w:rFonts w:hint="eastAsia" w:ascii="仿宋" w:hAnsi="仿宋" w:eastAsia="仿宋"/>
                <w:kern w:val="0"/>
                <w:sz w:val="24"/>
              </w:rPr>
              <w:t>质量指标</w:t>
            </w:r>
          </w:p>
        </w:tc>
        <w:tc>
          <w:tcPr>
            <w:tcW w:w="3393" w:type="dxa"/>
            <w:gridSpan w:val="3"/>
            <w:tcBorders>
              <w:top w:val="single" w:color="auto" w:sz="4" w:space="0"/>
              <w:left w:val="single" w:color="000000" w:sz="4" w:space="0"/>
              <w:bottom w:val="nil"/>
              <w:right w:val="single" w:color="000000" w:sz="4" w:space="0"/>
              <w:tl2br w:val="nil"/>
              <w:tr2bl w:val="nil"/>
            </w:tcBorders>
            <w:vAlign w:val="center"/>
          </w:tcPr>
          <w:p>
            <w:pPr>
              <w:spacing w:beforeLines="0" w:afterLines="0"/>
              <w:rPr>
                <w:rFonts w:hint="default" w:ascii="仿宋" w:hAnsi="仿宋" w:eastAsia="仿宋"/>
                <w:kern w:val="0"/>
                <w:sz w:val="24"/>
              </w:rPr>
            </w:pPr>
            <w:r>
              <w:rPr>
                <w:rFonts w:hint="eastAsia" w:ascii="仿宋" w:hAnsi="仿宋" w:eastAsia="仿宋"/>
                <w:kern w:val="0"/>
                <w:sz w:val="24"/>
              </w:rPr>
              <w:t>确保卫片执法检查顺利完成，确保全区违法用地、违法勘查开采矿产予以立案查处，基本杜绝群发性、大规模的自然资源违法行为发生。</w:t>
            </w:r>
          </w:p>
        </w:tc>
        <w:tc>
          <w:tcPr>
            <w:tcW w:w="1001" w:type="dxa"/>
            <w:tcBorders>
              <w:top w:val="single" w:color="auto" w:sz="4" w:space="0"/>
              <w:left w:val="single" w:color="000000" w:sz="4" w:space="0"/>
              <w:bottom w:val="nil"/>
              <w:right w:val="single" w:color="000000"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100%</w:t>
            </w:r>
          </w:p>
        </w:tc>
        <w:tc>
          <w:tcPr>
            <w:tcW w:w="850" w:type="dxa"/>
            <w:tcBorders>
              <w:top w:val="single" w:color="auto" w:sz="4" w:space="0"/>
              <w:left w:val="single" w:color="000000" w:sz="4" w:space="0"/>
              <w:bottom w:val="nil"/>
              <w:right w:val="single" w:color="000000"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15</w:t>
            </w:r>
          </w:p>
        </w:tc>
        <w:tc>
          <w:tcPr>
            <w:tcW w:w="709" w:type="dxa"/>
            <w:gridSpan w:val="2"/>
            <w:tcBorders>
              <w:top w:val="single" w:color="auto" w:sz="4" w:space="0"/>
              <w:left w:val="single" w:color="000000" w:sz="4" w:space="0"/>
              <w:bottom w:val="nil"/>
              <w:right w:val="single" w:color="000000"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15</w:t>
            </w:r>
          </w:p>
        </w:tc>
        <w:tc>
          <w:tcPr>
            <w:tcW w:w="1872" w:type="dxa"/>
            <w:tcBorders>
              <w:top w:val="single" w:color="auto" w:sz="4" w:space="0"/>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 w:hAnsi="仿宋" w:eastAsia="仿宋"/>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26" w:hRule="atLeast"/>
          <w:jc w:val="center"/>
        </w:trPr>
        <w:tc>
          <w:tcPr>
            <w:tcW w:w="67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仿宋" w:hAnsi="仿宋" w:eastAsia="仿宋"/>
                <w:kern w:val="0"/>
                <w:sz w:val="24"/>
              </w:rPr>
            </w:pPr>
          </w:p>
        </w:tc>
        <w:tc>
          <w:tcPr>
            <w:tcW w:w="709" w:type="dxa"/>
            <w:vMerge w:val="continue"/>
            <w:tcBorders>
              <w:top w:val="single" w:color="000000" w:sz="4" w:space="0"/>
              <w:left w:val="single" w:color="auto" w:sz="4" w:space="0"/>
              <w:bottom w:val="single" w:color="000000" w:sz="4" w:space="0"/>
              <w:right w:val="single" w:color="000000" w:sz="4" w:space="0"/>
              <w:tl2br w:val="nil"/>
              <w:tr2bl w:val="nil"/>
            </w:tcBorders>
            <w:vAlign w:val="center"/>
          </w:tcPr>
          <w:p>
            <w:pPr>
              <w:widowControl/>
              <w:spacing w:beforeLines="0" w:afterLines="0"/>
              <w:rPr>
                <w:rFonts w:hint="default" w:ascii="仿宋" w:hAnsi="仿宋" w:eastAsia="仿宋"/>
                <w:kern w:val="0"/>
                <w:sz w:val="24"/>
              </w:rPr>
            </w:pPr>
          </w:p>
        </w:tc>
        <w:tc>
          <w:tcPr>
            <w:tcW w:w="709" w:type="dxa"/>
            <w:gridSpan w:val="2"/>
            <w:tcBorders>
              <w:top w:val="single" w:color="000000" w:sz="4" w:space="0"/>
              <w:left w:val="single" w:color="000000" w:sz="4" w:space="0"/>
              <w:bottom w:val="nil"/>
              <w:right w:val="single" w:color="000000" w:sz="4" w:space="0"/>
              <w:tl2br w:val="nil"/>
              <w:tr2bl w:val="nil"/>
            </w:tcBorders>
            <w:vAlign w:val="center"/>
          </w:tcPr>
          <w:p>
            <w:pPr>
              <w:widowControl/>
              <w:spacing w:beforeLines="0" w:afterLines="0"/>
              <w:rPr>
                <w:rFonts w:hint="default" w:ascii="仿宋" w:hAnsi="仿宋" w:eastAsia="仿宋"/>
                <w:kern w:val="0"/>
                <w:sz w:val="24"/>
              </w:rPr>
            </w:pPr>
            <w:r>
              <w:rPr>
                <w:rFonts w:hint="eastAsia" w:ascii="仿宋" w:hAnsi="仿宋" w:eastAsia="仿宋"/>
                <w:kern w:val="0"/>
                <w:sz w:val="24"/>
              </w:rPr>
              <w:t>时效指标</w:t>
            </w:r>
          </w:p>
        </w:tc>
        <w:tc>
          <w:tcPr>
            <w:tcW w:w="3393" w:type="dxa"/>
            <w:gridSpan w:val="3"/>
            <w:tcBorders>
              <w:top w:val="single" w:color="000000" w:sz="4" w:space="0"/>
              <w:left w:val="single" w:color="000000" w:sz="4" w:space="0"/>
              <w:bottom w:val="nil"/>
              <w:right w:val="single" w:color="000000" w:sz="4" w:space="0"/>
              <w:tl2br w:val="nil"/>
              <w:tr2bl w:val="nil"/>
            </w:tcBorders>
            <w:vAlign w:val="center"/>
          </w:tcPr>
          <w:p>
            <w:pPr>
              <w:spacing w:beforeLines="0" w:afterLines="0"/>
              <w:rPr>
                <w:rFonts w:hint="default" w:ascii="仿宋" w:hAnsi="仿宋" w:eastAsia="仿宋"/>
                <w:kern w:val="0"/>
                <w:sz w:val="24"/>
              </w:rPr>
            </w:pPr>
            <w:r>
              <w:rPr>
                <w:rFonts w:hint="eastAsia" w:ascii="仿宋" w:hAnsi="仿宋" w:eastAsia="仿宋"/>
                <w:kern w:val="0"/>
                <w:sz w:val="24"/>
              </w:rPr>
              <w:t>按自然资源部规定的时间安排按时完成卫片执法检查工作，及时有效查处违法用地、违法勘查开采矿产行为。</w:t>
            </w:r>
          </w:p>
        </w:tc>
        <w:tc>
          <w:tcPr>
            <w:tcW w:w="1001" w:type="dxa"/>
            <w:tcBorders>
              <w:top w:val="single" w:color="000000" w:sz="4" w:space="0"/>
              <w:left w:val="single" w:color="000000" w:sz="4" w:space="0"/>
              <w:bottom w:val="nil"/>
              <w:right w:val="single" w:color="000000"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100%</w:t>
            </w:r>
          </w:p>
        </w:tc>
        <w:tc>
          <w:tcPr>
            <w:tcW w:w="850" w:type="dxa"/>
            <w:tcBorders>
              <w:top w:val="single" w:color="000000" w:sz="4" w:space="0"/>
              <w:left w:val="single" w:color="000000" w:sz="4" w:space="0"/>
              <w:bottom w:val="nil"/>
              <w:right w:val="single" w:color="000000"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10</w:t>
            </w:r>
          </w:p>
        </w:tc>
        <w:tc>
          <w:tcPr>
            <w:tcW w:w="709" w:type="dxa"/>
            <w:gridSpan w:val="2"/>
            <w:tcBorders>
              <w:top w:val="single" w:color="000000" w:sz="4" w:space="0"/>
              <w:left w:val="single" w:color="000000" w:sz="4" w:space="0"/>
              <w:bottom w:val="nil"/>
              <w:right w:val="single" w:color="000000"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10</w:t>
            </w:r>
          </w:p>
        </w:tc>
        <w:tc>
          <w:tcPr>
            <w:tcW w:w="187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 w:hAnsi="仿宋" w:eastAsia="仿宋"/>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76" w:hRule="atLeast"/>
          <w:jc w:val="center"/>
        </w:trPr>
        <w:tc>
          <w:tcPr>
            <w:tcW w:w="67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仿宋" w:hAnsi="仿宋" w:eastAsia="仿宋"/>
                <w:kern w:val="0"/>
                <w:sz w:val="24"/>
              </w:rPr>
            </w:pPr>
          </w:p>
        </w:tc>
        <w:tc>
          <w:tcPr>
            <w:tcW w:w="709" w:type="dxa"/>
            <w:vMerge w:val="continue"/>
            <w:tcBorders>
              <w:top w:val="single" w:color="000000" w:sz="4" w:space="0"/>
              <w:left w:val="single" w:color="auto" w:sz="4" w:space="0"/>
              <w:bottom w:val="single" w:color="auto" w:sz="4" w:space="0"/>
              <w:right w:val="single" w:color="000000" w:sz="4" w:space="0"/>
              <w:tl2br w:val="nil"/>
              <w:tr2bl w:val="nil"/>
            </w:tcBorders>
            <w:vAlign w:val="center"/>
          </w:tcPr>
          <w:p>
            <w:pPr>
              <w:widowControl/>
              <w:spacing w:beforeLines="0" w:afterLines="0"/>
              <w:rPr>
                <w:rFonts w:hint="default" w:ascii="仿宋" w:hAnsi="仿宋" w:eastAsia="仿宋"/>
                <w:kern w:val="0"/>
                <w:sz w:val="24"/>
              </w:rPr>
            </w:pPr>
          </w:p>
        </w:tc>
        <w:tc>
          <w:tcPr>
            <w:tcW w:w="709" w:type="dxa"/>
            <w:gridSpan w:val="2"/>
            <w:tcBorders>
              <w:top w:val="single" w:color="000000" w:sz="4" w:space="0"/>
              <w:left w:val="single" w:color="000000" w:sz="4" w:space="0"/>
              <w:bottom w:val="single" w:color="auto" w:sz="4" w:space="0"/>
              <w:right w:val="single" w:color="000000" w:sz="4" w:space="0"/>
              <w:tl2br w:val="nil"/>
              <w:tr2bl w:val="nil"/>
            </w:tcBorders>
            <w:vAlign w:val="center"/>
          </w:tcPr>
          <w:p>
            <w:pPr>
              <w:widowControl/>
              <w:spacing w:beforeLines="0" w:afterLines="0"/>
              <w:rPr>
                <w:rFonts w:hint="default" w:ascii="仿宋" w:hAnsi="仿宋" w:eastAsia="仿宋"/>
                <w:kern w:val="0"/>
                <w:sz w:val="24"/>
              </w:rPr>
            </w:pPr>
            <w:r>
              <w:rPr>
                <w:rFonts w:hint="eastAsia" w:ascii="仿宋" w:hAnsi="仿宋" w:eastAsia="仿宋"/>
                <w:kern w:val="0"/>
                <w:sz w:val="24"/>
              </w:rPr>
              <w:t>成本指标</w:t>
            </w:r>
          </w:p>
        </w:tc>
        <w:tc>
          <w:tcPr>
            <w:tcW w:w="3393" w:type="dxa"/>
            <w:gridSpan w:val="3"/>
            <w:tcBorders>
              <w:top w:val="single" w:color="000000" w:sz="4" w:space="0"/>
              <w:left w:val="single" w:color="000000" w:sz="4" w:space="0"/>
              <w:bottom w:val="single" w:color="auto" w:sz="4" w:space="0"/>
              <w:right w:val="single" w:color="000000" w:sz="4" w:space="0"/>
              <w:tl2br w:val="nil"/>
              <w:tr2bl w:val="nil"/>
            </w:tcBorders>
            <w:vAlign w:val="center"/>
          </w:tcPr>
          <w:p>
            <w:pPr>
              <w:spacing w:beforeLines="0" w:afterLines="0"/>
              <w:rPr>
                <w:rFonts w:hint="default" w:ascii="仿宋" w:hAnsi="仿宋" w:eastAsia="仿宋"/>
                <w:kern w:val="0"/>
                <w:sz w:val="24"/>
              </w:rPr>
            </w:pPr>
            <w:r>
              <w:rPr>
                <w:rFonts w:hint="eastAsia" w:ascii="仿宋" w:hAnsi="仿宋" w:eastAsia="仿宋"/>
                <w:kern w:val="0"/>
                <w:sz w:val="24"/>
              </w:rPr>
              <w:t>矿产勘测方量测算15000元/宗，土地卫片执法检查及日常执法勘测图纸打印2000元/宗，执法人员意外伤害险220/年/人。</w:t>
            </w:r>
          </w:p>
        </w:tc>
        <w:tc>
          <w:tcPr>
            <w:tcW w:w="1001" w:type="dxa"/>
            <w:tcBorders>
              <w:top w:val="single" w:color="000000" w:sz="4" w:space="0"/>
              <w:left w:val="single" w:color="000000" w:sz="4" w:space="0"/>
              <w:bottom w:val="single" w:color="auto" w:sz="4" w:space="0"/>
              <w:right w:val="single" w:color="000000"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100%</w:t>
            </w:r>
          </w:p>
        </w:tc>
        <w:tc>
          <w:tcPr>
            <w:tcW w:w="850" w:type="dxa"/>
            <w:tcBorders>
              <w:top w:val="single" w:color="000000" w:sz="4" w:space="0"/>
              <w:left w:val="single" w:color="000000" w:sz="4" w:space="0"/>
              <w:bottom w:val="single" w:color="auto" w:sz="4" w:space="0"/>
              <w:right w:val="single" w:color="000000"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10</w:t>
            </w:r>
          </w:p>
        </w:tc>
        <w:tc>
          <w:tcPr>
            <w:tcW w:w="709" w:type="dxa"/>
            <w:gridSpan w:val="2"/>
            <w:tcBorders>
              <w:top w:val="single" w:color="000000" w:sz="4" w:space="0"/>
              <w:left w:val="single" w:color="000000" w:sz="4" w:space="0"/>
              <w:bottom w:val="single" w:color="auto" w:sz="4" w:space="0"/>
              <w:right w:val="single" w:color="000000"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10</w:t>
            </w:r>
          </w:p>
        </w:tc>
        <w:tc>
          <w:tcPr>
            <w:tcW w:w="1872" w:type="dxa"/>
            <w:tcBorders>
              <w:top w:val="single" w:color="000000" w:sz="4" w:space="0"/>
              <w:left w:val="single" w:color="000000" w:sz="4" w:space="0"/>
              <w:bottom w:val="single" w:color="auto" w:sz="4" w:space="0"/>
              <w:right w:val="single" w:color="000000" w:sz="4" w:space="0"/>
              <w:tl2br w:val="nil"/>
              <w:tr2bl w:val="nil"/>
            </w:tcBorders>
            <w:vAlign w:val="center"/>
          </w:tcPr>
          <w:p>
            <w:pPr>
              <w:widowControl/>
              <w:spacing w:beforeLines="0" w:afterLines="0"/>
              <w:jc w:val="center"/>
              <w:rPr>
                <w:rFonts w:hint="eastAsia" w:ascii="仿宋" w:hAnsi="仿宋" w:eastAsia="仿宋"/>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26" w:hRule="atLeast"/>
          <w:jc w:val="center"/>
        </w:trPr>
        <w:tc>
          <w:tcPr>
            <w:tcW w:w="67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仿宋" w:hAnsi="仿宋" w:eastAsia="仿宋"/>
                <w:kern w:val="0"/>
                <w:sz w:val="24"/>
              </w:rPr>
            </w:pPr>
          </w:p>
        </w:tc>
        <w:tc>
          <w:tcPr>
            <w:tcW w:w="70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rPr>
                <w:rFonts w:hint="default" w:ascii="仿宋" w:hAnsi="仿宋" w:eastAsia="仿宋"/>
                <w:kern w:val="0"/>
                <w:sz w:val="24"/>
              </w:rPr>
            </w:pPr>
            <w:r>
              <w:rPr>
                <w:rFonts w:hint="eastAsia" w:ascii="仿宋" w:hAnsi="仿宋" w:eastAsia="仿宋"/>
                <w:kern w:val="0"/>
                <w:sz w:val="24"/>
              </w:rPr>
              <w:t>效益指标（30分）</w:t>
            </w:r>
          </w:p>
        </w:tc>
        <w:tc>
          <w:tcPr>
            <w:tcW w:w="709"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rPr>
                <w:rFonts w:hint="default" w:ascii="仿宋" w:hAnsi="仿宋" w:eastAsia="仿宋"/>
                <w:kern w:val="0"/>
                <w:sz w:val="24"/>
              </w:rPr>
            </w:pPr>
            <w:r>
              <w:rPr>
                <w:rFonts w:hint="eastAsia" w:ascii="仿宋" w:hAnsi="仿宋" w:eastAsia="仿宋"/>
                <w:kern w:val="0"/>
                <w:sz w:val="24"/>
              </w:rPr>
              <w:t>经济效益指标</w:t>
            </w:r>
          </w:p>
        </w:tc>
        <w:tc>
          <w:tcPr>
            <w:tcW w:w="3393"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仿宋" w:hAnsi="仿宋" w:eastAsia="仿宋"/>
                <w:kern w:val="0"/>
                <w:sz w:val="24"/>
              </w:rPr>
            </w:pPr>
            <w:r>
              <w:rPr>
                <w:rFonts w:hint="eastAsia" w:ascii="仿宋" w:hAnsi="仿宋" w:eastAsia="仿宋"/>
                <w:kern w:val="0"/>
                <w:sz w:val="24"/>
              </w:rPr>
              <w:t>通过罚款、没收、拆除违法建筑等方式保护国家经济利益，金东区2020年度土地卫片违法耕占比控制在15%以下，全区因违法未及时发现和制止造成财产损失减少500万元以上。</w:t>
            </w:r>
          </w:p>
        </w:tc>
        <w:tc>
          <w:tcPr>
            <w:tcW w:w="10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100%</w:t>
            </w:r>
          </w:p>
        </w:tc>
        <w:tc>
          <w:tcPr>
            <w:tcW w:w="8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10</w:t>
            </w:r>
          </w:p>
        </w:tc>
        <w:tc>
          <w:tcPr>
            <w:tcW w:w="709"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10</w:t>
            </w:r>
          </w:p>
        </w:tc>
        <w:tc>
          <w:tcPr>
            <w:tcW w:w="187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eastAsia" w:ascii="仿宋" w:hAnsi="仿宋" w:eastAsia="仿宋"/>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61" w:hRule="atLeast"/>
          <w:jc w:val="center"/>
        </w:trPr>
        <w:tc>
          <w:tcPr>
            <w:tcW w:w="67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仿宋" w:hAnsi="仿宋" w:eastAsia="仿宋"/>
                <w:sz w:val="24"/>
              </w:rPr>
            </w:pPr>
          </w:p>
        </w:tc>
        <w:tc>
          <w:tcPr>
            <w:tcW w:w="70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rPr>
                <w:rFonts w:hint="default" w:ascii="仿宋" w:hAnsi="仿宋" w:eastAsia="仿宋"/>
                <w:kern w:val="0"/>
                <w:sz w:val="24"/>
              </w:rPr>
            </w:pPr>
          </w:p>
        </w:tc>
        <w:tc>
          <w:tcPr>
            <w:tcW w:w="709"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rPr>
                <w:rFonts w:hint="default" w:ascii="仿宋" w:hAnsi="仿宋" w:eastAsia="仿宋"/>
                <w:kern w:val="0"/>
                <w:sz w:val="24"/>
              </w:rPr>
            </w:pPr>
            <w:r>
              <w:rPr>
                <w:rFonts w:hint="eastAsia" w:ascii="仿宋" w:hAnsi="仿宋" w:eastAsia="仿宋"/>
                <w:kern w:val="0"/>
                <w:sz w:val="24"/>
              </w:rPr>
              <w:t>社会效益指标</w:t>
            </w:r>
          </w:p>
        </w:tc>
        <w:tc>
          <w:tcPr>
            <w:tcW w:w="3393"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仿宋" w:hAnsi="仿宋" w:eastAsia="仿宋"/>
                <w:kern w:val="0"/>
                <w:sz w:val="24"/>
              </w:rPr>
            </w:pPr>
            <w:r>
              <w:rPr>
                <w:rFonts w:hint="eastAsia" w:ascii="仿宋" w:hAnsi="仿宋" w:eastAsia="仿宋"/>
                <w:kern w:val="0"/>
                <w:sz w:val="24"/>
              </w:rPr>
              <w:t>违法违规用地、违法勘查开采矿产资源的势头得到有效遏制，地方政府依法依规管地用地、管矿用矿意识明显增强，自然资源管理秩序得到维护，镇村管理网格健全，责任人监管人职责明确。</w:t>
            </w:r>
          </w:p>
        </w:tc>
        <w:tc>
          <w:tcPr>
            <w:tcW w:w="10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98%</w:t>
            </w:r>
          </w:p>
        </w:tc>
        <w:tc>
          <w:tcPr>
            <w:tcW w:w="8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10</w:t>
            </w:r>
          </w:p>
        </w:tc>
        <w:tc>
          <w:tcPr>
            <w:tcW w:w="709"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8</w:t>
            </w:r>
          </w:p>
        </w:tc>
        <w:tc>
          <w:tcPr>
            <w:tcW w:w="187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公建项目和村委会公共设施违法较多，将加强违法用地监管。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16" w:hRule="atLeast"/>
          <w:jc w:val="center"/>
        </w:trPr>
        <w:tc>
          <w:tcPr>
            <w:tcW w:w="67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仿宋" w:hAnsi="仿宋" w:eastAsia="仿宋"/>
                <w:kern w:val="0"/>
                <w:sz w:val="24"/>
              </w:rPr>
            </w:pPr>
          </w:p>
        </w:tc>
        <w:tc>
          <w:tcPr>
            <w:tcW w:w="70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rPr>
                <w:rFonts w:hint="default" w:ascii="仿宋" w:hAnsi="仿宋" w:eastAsia="仿宋"/>
                <w:kern w:val="0"/>
                <w:sz w:val="24"/>
              </w:rPr>
            </w:pPr>
          </w:p>
        </w:tc>
        <w:tc>
          <w:tcPr>
            <w:tcW w:w="709"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rPr>
                <w:rFonts w:hint="default" w:ascii="仿宋" w:hAnsi="仿宋" w:eastAsia="仿宋"/>
                <w:kern w:val="0"/>
                <w:sz w:val="24"/>
              </w:rPr>
            </w:pPr>
            <w:r>
              <w:rPr>
                <w:rFonts w:hint="eastAsia" w:ascii="仿宋" w:hAnsi="仿宋" w:eastAsia="仿宋"/>
                <w:kern w:val="0"/>
                <w:sz w:val="24"/>
              </w:rPr>
              <w:t>生态效益指标</w:t>
            </w:r>
          </w:p>
        </w:tc>
        <w:tc>
          <w:tcPr>
            <w:tcW w:w="3393"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仿宋" w:hAnsi="仿宋" w:eastAsia="仿宋"/>
                <w:kern w:val="0"/>
                <w:sz w:val="24"/>
              </w:rPr>
            </w:pPr>
            <w:r>
              <w:rPr>
                <w:rFonts w:hint="eastAsia" w:ascii="仿宋" w:hAnsi="仿宋" w:eastAsia="仿宋"/>
                <w:kern w:val="0"/>
                <w:sz w:val="24"/>
              </w:rPr>
              <w:t>保护大量耕地，同时保护生态环境。</w:t>
            </w:r>
          </w:p>
        </w:tc>
        <w:tc>
          <w:tcPr>
            <w:tcW w:w="10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100%</w:t>
            </w:r>
          </w:p>
        </w:tc>
        <w:tc>
          <w:tcPr>
            <w:tcW w:w="8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5</w:t>
            </w:r>
          </w:p>
        </w:tc>
        <w:tc>
          <w:tcPr>
            <w:tcW w:w="709"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5</w:t>
            </w:r>
          </w:p>
        </w:tc>
        <w:tc>
          <w:tcPr>
            <w:tcW w:w="187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eastAsia" w:ascii="仿宋" w:hAnsi="仿宋" w:eastAsia="仿宋"/>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66" w:hRule="atLeast"/>
          <w:jc w:val="center"/>
        </w:trPr>
        <w:tc>
          <w:tcPr>
            <w:tcW w:w="67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仿宋" w:hAnsi="仿宋" w:eastAsia="仿宋"/>
                <w:kern w:val="0"/>
                <w:sz w:val="24"/>
              </w:rPr>
            </w:pPr>
          </w:p>
        </w:tc>
        <w:tc>
          <w:tcPr>
            <w:tcW w:w="709" w:type="dxa"/>
            <w:vMerge w:val="continue"/>
            <w:tcBorders>
              <w:top w:val="single" w:color="auto" w:sz="4" w:space="0"/>
              <w:left w:val="single" w:color="auto" w:sz="4" w:space="0"/>
              <w:bottom w:val="single" w:color="auto" w:sz="4" w:space="0"/>
              <w:right w:val="single" w:color="000000" w:sz="4" w:space="0"/>
              <w:tl2br w:val="nil"/>
              <w:tr2bl w:val="nil"/>
            </w:tcBorders>
            <w:vAlign w:val="center"/>
          </w:tcPr>
          <w:p>
            <w:pPr>
              <w:widowControl/>
              <w:spacing w:beforeLines="0" w:afterLines="0"/>
              <w:rPr>
                <w:rFonts w:hint="default" w:ascii="仿宋" w:hAnsi="仿宋" w:eastAsia="仿宋"/>
                <w:kern w:val="0"/>
                <w:sz w:val="24"/>
              </w:rPr>
            </w:pPr>
          </w:p>
        </w:tc>
        <w:tc>
          <w:tcPr>
            <w:tcW w:w="709" w:type="dxa"/>
            <w:gridSpan w:val="2"/>
            <w:tcBorders>
              <w:top w:val="single" w:color="auto" w:sz="4" w:space="0"/>
              <w:left w:val="single" w:color="000000" w:sz="4" w:space="0"/>
              <w:bottom w:val="single" w:color="auto" w:sz="4" w:space="0"/>
              <w:right w:val="single" w:color="000000" w:sz="4" w:space="0"/>
              <w:tl2br w:val="nil"/>
              <w:tr2bl w:val="nil"/>
            </w:tcBorders>
            <w:vAlign w:val="center"/>
          </w:tcPr>
          <w:p>
            <w:pPr>
              <w:widowControl/>
              <w:spacing w:beforeLines="0" w:afterLines="0"/>
              <w:rPr>
                <w:rFonts w:hint="default" w:ascii="仿宋" w:hAnsi="仿宋" w:eastAsia="仿宋"/>
                <w:kern w:val="0"/>
                <w:sz w:val="24"/>
              </w:rPr>
            </w:pPr>
            <w:r>
              <w:rPr>
                <w:rFonts w:hint="eastAsia" w:ascii="仿宋" w:hAnsi="仿宋" w:eastAsia="仿宋"/>
                <w:kern w:val="0"/>
                <w:sz w:val="24"/>
              </w:rPr>
              <w:t>可持续影响指标</w:t>
            </w:r>
          </w:p>
        </w:tc>
        <w:tc>
          <w:tcPr>
            <w:tcW w:w="3393" w:type="dxa"/>
            <w:gridSpan w:val="3"/>
            <w:tcBorders>
              <w:top w:val="single" w:color="auto" w:sz="4" w:space="0"/>
              <w:left w:val="single" w:color="000000" w:sz="4" w:space="0"/>
              <w:bottom w:val="single" w:color="auto" w:sz="4" w:space="0"/>
              <w:right w:val="single" w:color="000000" w:sz="4" w:space="0"/>
              <w:tl2br w:val="nil"/>
              <w:tr2bl w:val="nil"/>
            </w:tcBorders>
            <w:vAlign w:val="center"/>
          </w:tcPr>
          <w:p>
            <w:pPr>
              <w:spacing w:beforeLines="0" w:afterLines="0"/>
              <w:rPr>
                <w:rFonts w:hint="default" w:ascii="仿宋" w:hAnsi="仿宋" w:eastAsia="仿宋"/>
                <w:kern w:val="0"/>
                <w:sz w:val="24"/>
              </w:rPr>
            </w:pPr>
            <w:r>
              <w:rPr>
                <w:rFonts w:hint="eastAsia" w:ascii="仿宋" w:hAnsi="仿宋" w:eastAsia="仿宋"/>
                <w:kern w:val="0"/>
                <w:sz w:val="24"/>
              </w:rPr>
              <w:t>乱拾乱建现象明显减少，镇容村貌环境得到明显改观，农民建房，建设用地依法用地常态化。</w:t>
            </w:r>
          </w:p>
        </w:tc>
        <w:tc>
          <w:tcPr>
            <w:tcW w:w="1001" w:type="dxa"/>
            <w:tcBorders>
              <w:top w:val="single" w:color="auto" w:sz="4" w:space="0"/>
              <w:left w:val="single" w:color="000000" w:sz="4" w:space="0"/>
              <w:bottom w:val="single" w:color="auto" w:sz="4" w:space="0"/>
              <w:right w:val="single" w:color="000000"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100%</w:t>
            </w:r>
          </w:p>
        </w:tc>
        <w:tc>
          <w:tcPr>
            <w:tcW w:w="850" w:type="dxa"/>
            <w:tcBorders>
              <w:top w:val="single" w:color="auto" w:sz="4" w:space="0"/>
              <w:left w:val="single" w:color="000000" w:sz="4" w:space="0"/>
              <w:bottom w:val="single" w:color="auto" w:sz="4" w:space="0"/>
              <w:right w:val="single" w:color="000000"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5</w:t>
            </w:r>
          </w:p>
        </w:tc>
        <w:tc>
          <w:tcPr>
            <w:tcW w:w="709" w:type="dxa"/>
            <w:gridSpan w:val="2"/>
            <w:tcBorders>
              <w:top w:val="single" w:color="auto" w:sz="4" w:space="0"/>
              <w:left w:val="single" w:color="000000" w:sz="4" w:space="0"/>
              <w:bottom w:val="single" w:color="auto" w:sz="4" w:space="0"/>
              <w:right w:val="single" w:color="000000"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5</w:t>
            </w:r>
          </w:p>
        </w:tc>
        <w:tc>
          <w:tcPr>
            <w:tcW w:w="1872" w:type="dxa"/>
            <w:tcBorders>
              <w:top w:val="single" w:color="auto" w:sz="4" w:space="0"/>
              <w:left w:val="single" w:color="000000" w:sz="4" w:space="0"/>
              <w:bottom w:val="single" w:color="auto" w:sz="4" w:space="0"/>
              <w:right w:val="single" w:color="000000" w:sz="4" w:space="0"/>
              <w:tl2br w:val="nil"/>
              <w:tr2bl w:val="nil"/>
            </w:tcBorders>
            <w:vAlign w:val="center"/>
          </w:tcPr>
          <w:p>
            <w:pPr>
              <w:widowControl/>
              <w:spacing w:beforeLines="0" w:afterLines="0"/>
              <w:jc w:val="center"/>
              <w:rPr>
                <w:rFonts w:hint="eastAsia" w:ascii="仿宋" w:hAnsi="仿宋" w:eastAsia="仿宋"/>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48" w:hRule="atLeast"/>
          <w:jc w:val="center"/>
        </w:trPr>
        <w:tc>
          <w:tcPr>
            <w:tcW w:w="67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仿宋" w:hAnsi="仿宋" w:eastAsia="仿宋"/>
                <w:kern w:val="0"/>
                <w:sz w:val="24"/>
              </w:rPr>
            </w:pP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rPr>
                <w:rFonts w:hint="default" w:ascii="仿宋" w:hAnsi="仿宋" w:eastAsia="仿宋"/>
                <w:kern w:val="0"/>
                <w:sz w:val="24"/>
              </w:rPr>
            </w:pPr>
            <w:r>
              <w:rPr>
                <w:rFonts w:hint="eastAsia" w:ascii="仿宋" w:hAnsi="仿宋" w:eastAsia="仿宋"/>
                <w:kern w:val="0"/>
                <w:sz w:val="24"/>
              </w:rPr>
              <w:t>满意度指标（10分）</w:t>
            </w:r>
          </w:p>
        </w:tc>
        <w:tc>
          <w:tcPr>
            <w:tcW w:w="709"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rPr>
                <w:rFonts w:hint="default" w:ascii="仿宋" w:hAnsi="仿宋" w:eastAsia="仿宋"/>
                <w:kern w:val="0"/>
                <w:sz w:val="24"/>
              </w:rPr>
            </w:pPr>
            <w:r>
              <w:rPr>
                <w:rFonts w:hint="eastAsia" w:ascii="仿宋" w:hAnsi="仿宋" w:eastAsia="仿宋"/>
                <w:kern w:val="0"/>
                <w:sz w:val="24"/>
              </w:rPr>
              <w:t>服务对象满意度指标</w:t>
            </w:r>
          </w:p>
        </w:tc>
        <w:tc>
          <w:tcPr>
            <w:tcW w:w="3393"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default" w:ascii="仿宋" w:hAnsi="仿宋" w:eastAsia="仿宋"/>
                <w:kern w:val="0"/>
                <w:sz w:val="24"/>
              </w:rPr>
            </w:pPr>
            <w:r>
              <w:rPr>
                <w:rFonts w:hint="eastAsia" w:ascii="仿宋" w:hAnsi="仿宋" w:eastAsia="仿宋"/>
                <w:kern w:val="0"/>
                <w:sz w:val="24"/>
              </w:rPr>
              <w:t>卫片执法检查工作得到人民群众的认知与支持，违法用地、违法开采矿产查处让群众生活生产秩序得到保障，第三方测评群众满意度90%以上。</w:t>
            </w:r>
          </w:p>
        </w:tc>
        <w:tc>
          <w:tcPr>
            <w:tcW w:w="10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98%</w:t>
            </w:r>
          </w:p>
        </w:tc>
        <w:tc>
          <w:tcPr>
            <w:tcW w:w="8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10</w:t>
            </w:r>
          </w:p>
        </w:tc>
        <w:tc>
          <w:tcPr>
            <w:tcW w:w="709"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tabs>
                <w:tab w:val="left" w:pos="357"/>
              </w:tabs>
              <w:spacing w:beforeLines="0" w:afterLines="0"/>
              <w:jc w:val="center"/>
              <w:rPr>
                <w:rFonts w:hint="eastAsia" w:ascii="仿宋" w:hAnsi="仿宋" w:eastAsia="仿宋"/>
                <w:kern w:val="0"/>
                <w:sz w:val="24"/>
              </w:rPr>
            </w:pPr>
            <w:r>
              <w:rPr>
                <w:rFonts w:hint="eastAsia" w:ascii="仿宋" w:hAnsi="仿宋" w:eastAsia="仿宋"/>
                <w:kern w:val="0"/>
                <w:sz w:val="24"/>
              </w:rPr>
              <w:t>9</w:t>
            </w:r>
          </w:p>
        </w:tc>
        <w:tc>
          <w:tcPr>
            <w:tcW w:w="187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加强信访化解。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1" w:hRule="atLeast"/>
          <w:jc w:val="center"/>
        </w:trPr>
        <w:tc>
          <w:tcPr>
            <w:tcW w:w="67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仿宋" w:hAnsi="仿宋" w:eastAsia="仿宋"/>
                <w:kern w:val="0"/>
                <w:sz w:val="24"/>
              </w:rPr>
            </w:pP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执行率指标（10分）</w:t>
            </w:r>
          </w:p>
        </w:tc>
        <w:tc>
          <w:tcPr>
            <w:tcW w:w="5103" w:type="dxa"/>
            <w:gridSpan w:val="6"/>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资金执行率：</w:t>
            </w:r>
          </w:p>
          <w:p>
            <w:pPr>
              <w:widowControl/>
              <w:spacing w:beforeLines="0" w:afterLines="0"/>
              <w:jc w:val="center"/>
              <w:rPr>
                <w:rFonts w:hint="default" w:ascii="仿宋" w:hAnsi="仿宋" w:eastAsia="仿宋"/>
                <w:kern w:val="0"/>
                <w:sz w:val="24"/>
              </w:rPr>
            </w:pPr>
            <w:r>
              <w:rPr>
                <w:rFonts w:hint="eastAsia" w:ascii="仿宋" w:hAnsi="仿宋" w:eastAsia="仿宋"/>
                <w:kern w:val="0"/>
                <w:sz w:val="24"/>
              </w:rPr>
              <w:t>（计算方式：执行率自评得分=资金执行率*10）</w:t>
            </w:r>
          </w:p>
        </w:tc>
        <w:tc>
          <w:tcPr>
            <w:tcW w:w="8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10</w:t>
            </w:r>
          </w:p>
        </w:tc>
        <w:tc>
          <w:tcPr>
            <w:tcW w:w="709"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10</w:t>
            </w:r>
          </w:p>
        </w:tc>
        <w:tc>
          <w:tcPr>
            <w:tcW w:w="187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eastAsia" w:ascii="仿宋" w:hAnsi="仿宋" w:eastAsia="仿宋"/>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exact"/>
          <w:jc w:val="center"/>
        </w:trPr>
        <w:tc>
          <w:tcPr>
            <w:tcW w:w="6483" w:type="dxa"/>
            <w:gridSpan w:val="8"/>
            <w:tcBorders>
              <w:top w:val="single" w:color="000000" w:sz="4" w:space="0"/>
              <w:left w:val="single" w:color="000000" w:sz="4" w:space="0"/>
              <w:bottom w:val="single" w:color="000000" w:sz="4" w:space="0"/>
              <w:right w:val="single" w:color="auto"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总分</w:t>
            </w:r>
          </w:p>
        </w:tc>
        <w:tc>
          <w:tcPr>
            <w:tcW w:w="850" w:type="dxa"/>
            <w:tcBorders>
              <w:top w:val="single" w:color="000000" w:sz="4" w:space="0"/>
              <w:left w:val="single" w:color="000000" w:sz="4" w:space="0"/>
              <w:bottom w:val="single" w:color="000000" w:sz="4" w:space="0"/>
              <w:right w:val="single" w:color="auto"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100</w:t>
            </w:r>
          </w:p>
        </w:tc>
        <w:tc>
          <w:tcPr>
            <w:tcW w:w="709" w:type="dxa"/>
            <w:gridSpan w:val="2"/>
            <w:tcBorders>
              <w:top w:val="single" w:color="000000" w:sz="4" w:space="0"/>
              <w:left w:val="single" w:color="000000" w:sz="4" w:space="0"/>
              <w:bottom w:val="single" w:color="000000" w:sz="4" w:space="0"/>
              <w:right w:val="single" w:color="auto"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95</w:t>
            </w:r>
          </w:p>
        </w:tc>
        <w:tc>
          <w:tcPr>
            <w:tcW w:w="1872" w:type="dxa"/>
            <w:tcBorders>
              <w:top w:val="single" w:color="000000" w:sz="4" w:space="0"/>
              <w:left w:val="single" w:color="000000" w:sz="4" w:space="0"/>
              <w:bottom w:val="single" w:color="000000" w:sz="4" w:space="0"/>
              <w:right w:val="single" w:color="auto" w:sz="4" w:space="0"/>
              <w:tl2br w:val="nil"/>
              <w:tr2bl w:val="nil"/>
            </w:tcBorders>
            <w:vAlign w:val="center"/>
          </w:tcPr>
          <w:p>
            <w:pPr>
              <w:widowControl/>
              <w:spacing w:beforeLines="0" w:afterLines="0"/>
              <w:jc w:val="center"/>
              <w:rPr>
                <w:rFonts w:hint="eastAsia" w:ascii="仿宋" w:hAnsi="仿宋" w:eastAsia="仿宋"/>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exact"/>
          <w:jc w:val="center"/>
        </w:trPr>
        <w:tc>
          <w:tcPr>
            <w:tcW w:w="1380" w:type="dxa"/>
            <w:gridSpan w:val="2"/>
            <w:tcBorders>
              <w:top w:val="single" w:color="000000" w:sz="4" w:space="0"/>
              <w:left w:val="single" w:color="000000" w:sz="4" w:space="0"/>
              <w:bottom w:val="single" w:color="000000" w:sz="4" w:space="0"/>
              <w:right w:val="single" w:color="auto"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评价结果</w:t>
            </w:r>
          </w:p>
        </w:tc>
        <w:tc>
          <w:tcPr>
            <w:tcW w:w="5953" w:type="dxa"/>
            <w:gridSpan w:val="7"/>
            <w:tcBorders>
              <w:top w:val="single" w:color="000000" w:sz="4" w:space="0"/>
              <w:left w:val="single" w:color="000000" w:sz="4" w:space="0"/>
              <w:bottom w:val="single" w:color="000000" w:sz="4" w:space="0"/>
              <w:right w:val="single" w:color="auto"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优：90分≤得分≤100分；良：80分≤得分&lt;90分；中：60分≤得分&lt;80分；差：得分&lt;60分</w:t>
            </w:r>
          </w:p>
        </w:tc>
        <w:tc>
          <w:tcPr>
            <w:tcW w:w="709" w:type="dxa"/>
            <w:gridSpan w:val="2"/>
            <w:tcBorders>
              <w:top w:val="single" w:color="000000" w:sz="4" w:space="0"/>
              <w:left w:val="single" w:color="000000" w:sz="4" w:space="0"/>
              <w:bottom w:val="single" w:color="000000" w:sz="4" w:space="0"/>
              <w:right w:val="single" w:color="auto"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 xml:space="preserve"> 优</w:t>
            </w:r>
          </w:p>
        </w:tc>
        <w:tc>
          <w:tcPr>
            <w:tcW w:w="1872" w:type="dxa"/>
            <w:tcBorders>
              <w:top w:val="single" w:color="000000" w:sz="4" w:space="0"/>
              <w:left w:val="single" w:color="000000" w:sz="4" w:space="0"/>
              <w:bottom w:val="single" w:color="000000" w:sz="4" w:space="0"/>
              <w:right w:val="single" w:color="auto" w:sz="4" w:space="0"/>
              <w:tl2br w:val="nil"/>
              <w:tr2bl w:val="nil"/>
            </w:tcBorders>
            <w:vAlign w:val="center"/>
          </w:tcPr>
          <w:p>
            <w:pPr>
              <w:widowControl/>
              <w:spacing w:beforeLines="0" w:afterLines="0"/>
              <w:jc w:val="center"/>
              <w:rPr>
                <w:rFonts w:hint="default" w:ascii="仿宋" w:hAnsi="仿宋" w:eastAsia="仿宋"/>
                <w:kern w:val="0"/>
                <w:sz w:val="24"/>
              </w:rPr>
            </w:pPr>
            <w:r>
              <w:rPr>
                <w:rFonts w:hint="default" w:ascii="仿宋" w:hAnsi="仿宋" w:eastAsia="仿宋"/>
                <w:kern w:val="0"/>
                <w:sz w:val="24"/>
              </w:rPr>
              <w:t>-</w:t>
            </w:r>
          </w:p>
        </w:tc>
      </w:tr>
    </w:tbl>
    <w:p>
      <w:pPr>
        <w:autoSpaceDE w:val="0"/>
        <w:autoSpaceDN w:val="0"/>
        <w:adjustRightInd w:val="0"/>
        <w:spacing w:beforeLines="0" w:afterLines="0" w:line="560" w:lineRule="exact"/>
        <w:ind w:firstLine="560" w:firstLineChars="200"/>
        <w:rPr>
          <w:rFonts w:hint="default" w:ascii="仿宋" w:hAnsi="仿宋" w:eastAsia="仿宋"/>
          <w:sz w:val="28"/>
        </w:rPr>
      </w:pPr>
      <w:r>
        <w:rPr>
          <w:rFonts w:hint="eastAsia" w:ascii="仿宋" w:hAnsi="仿宋" w:eastAsia="仿宋"/>
          <w:kern w:val="0"/>
          <w:sz w:val="28"/>
        </w:rPr>
        <w:t>信息化系统维护</w:t>
      </w:r>
      <w:r>
        <w:rPr>
          <w:rFonts w:hint="eastAsia" w:ascii="仿宋" w:hAnsi="仿宋" w:eastAsia="仿宋"/>
          <w:sz w:val="28"/>
        </w:rPr>
        <w:t>项目绩效自评综述：根据年初设定的绩效目标，项目自评得分98分，自评结论为“优”。项目全年预算数为18.3</w:t>
      </w:r>
      <w:r>
        <w:rPr>
          <w:rFonts w:hint="default" w:ascii="仿宋" w:hAnsi="仿宋" w:eastAsia="仿宋"/>
          <w:sz w:val="28"/>
        </w:rPr>
        <w:t>0</w:t>
      </w:r>
      <w:r>
        <w:rPr>
          <w:rFonts w:hint="eastAsia" w:ascii="仿宋" w:hAnsi="仿宋" w:eastAsia="仿宋"/>
          <w:sz w:val="28"/>
        </w:rPr>
        <w:t>万元，执行数为18.30万元，完成预算的100%。项目绩效目标完成情况：</w:t>
      </w:r>
      <w:r>
        <w:rPr>
          <w:rFonts w:hint="eastAsia" w:ascii="仿宋" w:hAnsi="仿宋" w:eastAsia="仿宋"/>
          <w:kern w:val="0"/>
          <w:sz w:val="28"/>
        </w:rPr>
        <w:t>分局所有办公设备正常运行，办公环境良好。</w:t>
      </w:r>
      <w:r>
        <w:rPr>
          <w:rFonts w:hint="eastAsia" w:ascii="仿宋" w:hAnsi="仿宋" w:eastAsia="仿宋"/>
          <w:sz w:val="28"/>
        </w:rPr>
        <w:t>发现的问题及原因：</w:t>
      </w:r>
      <w:r>
        <w:rPr>
          <w:rFonts w:hint="eastAsia" w:ascii="仿宋" w:hAnsi="仿宋" w:eastAsia="仿宋"/>
          <w:color w:val="000000"/>
          <w:kern w:val="0"/>
          <w:sz w:val="28"/>
        </w:rPr>
        <w:t>定期对办公环境及配套设施进行维护保养，保障办公环境，提升办事群众满意率。</w:t>
      </w:r>
    </w:p>
    <w:p>
      <w:pPr>
        <w:widowControl/>
        <w:spacing w:beforeLines="0" w:afterLines="0" w:line="560" w:lineRule="exact"/>
        <w:jc w:val="center"/>
        <w:rPr>
          <w:rFonts w:hint="default" w:ascii="Times New Roman" w:hAnsi="Times New Roman" w:eastAsia="方正小标宋简体"/>
          <w:kern w:val="0"/>
          <w:sz w:val="44"/>
        </w:rPr>
      </w:pPr>
      <w:r>
        <w:rPr>
          <w:rFonts w:hint="eastAsia" w:ascii="Times New Roman" w:hAnsi="Times New Roman" w:eastAsia="方正小标宋简体"/>
          <w:kern w:val="0"/>
          <w:sz w:val="44"/>
        </w:rPr>
        <w:t>金华市本级项目支出绩效自评表</w:t>
      </w:r>
    </w:p>
    <w:p>
      <w:pPr>
        <w:widowControl/>
        <w:spacing w:beforeLines="0" w:afterLines="0" w:line="560" w:lineRule="exact"/>
        <w:jc w:val="center"/>
        <w:rPr>
          <w:rFonts w:hint="default" w:ascii="方正小标宋简体" w:hAnsi="方正小标宋简体" w:eastAsia="方正小标宋简体"/>
          <w:kern w:val="0"/>
          <w:sz w:val="40"/>
        </w:rPr>
      </w:pPr>
      <w:r>
        <w:rPr>
          <w:rFonts w:hint="eastAsia" w:ascii="方正小标宋简体" w:hAnsi="方正小标宋简体" w:eastAsia="方正小标宋简体"/>
          <w:kern w:val="0"/>
          <w:sz w:val="40"/>
        </w:rPr>
        <w:t>（2020年度）</w:t>
      </w:r>
    </w:p>
    <w:p>
      <w:pPr>
        <w:widowControl/>
        <w:spacing w:beforeLines="0" w:afterLines="0" w:line="560" w:lineRule="exact"/>
        <w:ind w:firstLine="2880" w:firstLineChars="1200"/>
        <w:jc w:val="left"/>
        <w:rPr>
          <w:rFonts w:hint="default" w:ascii="仿宋" w:hAnsi="仿宋" w:eastAsia="仿宋"/>
          <w:kern w:val="0"/>
          <w:sz w:val="24"/>
        </w:rPr>
      </w:pPr>
      <w:r>
        <w:rPr>
          <w:rFonts w:hint="eastAsia" w:ascii="仿宋" w:hAnsi="仿宋" w:eastAsia="仿宋"/>
          <w:kern w:val="0"/>
          <w:sz w:val="24"/>
        </w:rPr>
        <w:t>实施单位（盖章）：</w:t>
      </w:r>
    </w:p>
    <w:tbl>
      <w:tblPr>
        <w:tblStyle w:val="7"/>
        <w:tblW w:w="958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9"/>
        <w:gridCol w:w="841"/>
        <w:gridCol w:w="147"/>
        <w:gridCol w:w="101"/>
        <w:gridCol w:w="1116"/>
        <w:gridCol w:w="539"/>
        <w:gridCol w:w="634"/>
        <w:gridCol w:w="1013"/>
        <w:gridCol w:w="90"/>
        <w:gridCol w:w="1006"/>
        <w:gridCol w:w="821"/>
        <w:gridCol w:w="200"/>
        <w:gridCol w:w="485"/>
        <w:gridCol w:w="18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162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r>
              <w:rPr>
                <w:rFonts w:hint="eastAsia" w:ascii="仿宋" w:hAnsi="仿宋" w:eastAsia="仿宋"/>
                <w:kern w:val="0"/>
                <w:sz w:val="24"/>
              </w:rPr>
              <w:t>项目名称</w:t>
            </w:r>
          </w:p>
        </w:tc>
        <w:tc>
          <w:tcPr>
            <w:tcW w:w="7960" w:type="dxa"/>
            <w:gridSpan w:val="12"/>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r>
              <w:rPr>
                <w:rFonts w:hint="eastAsia" w:ascii="仿宋" w:hAnsi="仿宋" w:eastAsia="仿宋"/>
                <w:kern w:val="0"/>
                <w:sz w:val="24"/>
              </w:rPr>
              <w:t>信息化系统维护项目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162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r>
              <w:rPr>
                <w:rFonts w:hint="eastAsia" w:ascii="仿宋" w:hAnsi="仿宋" w:eastAsia="仿宋"/>
                <w:kern w:val="0"/>
                <w:sz w:val="24"/>
              </w:rPr>
              <w:t>主管部门</w:t>
            </w:r>
          </w:p>
        </w:tc>
        <w:tc>
          <w:tcPr>
            <w:tcW w:w="3550" w:type="dxa"/>
            <w:gridSpan w:val="6"/>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r>
              <w:rPr>
                <w:rFonts w:hint="eastAsia" w:ascii="仿宋" w:hAnsi="仿宋" w:eastAsia="仿宋"/>
                <w:kern w:val="0"/>
                <w:sz w:val="24"/>
              </w:rPr>
              <w:t>金华市自然资源和规划局</w:t>
            </w:r>
          </w:p>
        </w:tc>
        <w:tc>
          <w:tcPr>
            <w:tcW w:w="2117" w:type="dxa"/>
            <w:gridSpan w:val="4"/>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r>
              <w:rPr>
                <w:rFonts w:hint="eastAsia" w:ascii="仿宋" w:hAnsi="仿宋" w:eastAsia="仿宋"/>
                <w:kern w:val="0"/>
                <w:sz w:val="24"/>
              </w:rPr>
              <w:t>实施单位</w:t>
            </w:r>
          </w:p>
        </w:tc>
        <w:tc>
          <w:tcPr>
            <w:tcW w:w="2293" w:type="dxa"/>
            <w:gridSpan w:val="2"/>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r>
              <w:rPr>
                <w:rFonts w:hint="eastAsia" w:ascii="仿宋" w:hAnsi="仿宋" w:eastAsia="仿宋"/>
                <w:kern w:val="0"/>
                <w:sz w:val="24"/>
              </w:rPr>
              <w:t>金华市自然资源和规划局金东分局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162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r>
              <w:rPr>
                <w:rFonts w:hint="eastAsia" w:ascii="仿宋" w:hAnsi="仿宋" w:eastAsia="仿宋"/>
                <w:kern w:val="0"/>
                <w:sz w:val="24"/>
              </w:rPr>
              <w:t>起止时间</w:t>
            </w:r>
          </w:p>
        </w:tc>
        <w:tc>
          <w:tcPr>
            <w:tcW w:w="7960" w:type="dxa"/>
            <w:gridSpan w:val="12"/>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line="240" w:lineRule="exact"/>
              <w:jc w:val="center"/>
              <w:rPr>
                <w:rFonts w:hint="eastAsia" w:ascii="仿宋" w:hAnsi="仿宋" w:eastAsia="仿宋"/>
                <w:kern w:val="0"/>
                <w:sz w:val="24"/>
              </w:rPr>
            </w:pPr>
            <w:r>
              <w:rPr>
                <w:rFonts w:hint="eastAsia" w:ascii="仿宋" w:hAnsi="仿宋" w:eastAsia="仿宋"/>
                <w:kern w:val="0"/>
                <w:sz w:val="24"/>
              </w:rPr>
              <w:t>2020.01.01-2020.12.31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1620" w:type="dxa"/>
            <w:gridSpan w:val="2"/>
            <w:vMerge w:val="restart"/>
            <w:tcBorders>
              <w:top w:val="single" w:color="000000" w:sz="4" w:space="0"/>
              <w:left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r>
              <w:rPr>
                <w:rFonts w:hint="eastAsia" w:ascii="仿宋" w:hAnsi="仿宋" w:eastAsia="仿宋"/>
                <w:kern w:val="0"/>
                <w:sz w:val="24"/>
              </w:rPr>
              <w:t>项目资金（万元）</w:t>
            </w:r>
          </w:p>
        </w:tc>
        <w:tc>
          <w:tcPr>
            <w:tcW w:w="1903" w:type="dxa"/>
            <w:gridSpan w:val="4"/>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p>
        </w:tc>
        <w:tc>
          <w:tcPr>
            <w:tcW w:w="1737" w:type="dxa"/>
            <w:gridSpan w:val="3"/>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r>
              <w:rPr>
                <w:rFonts w:hint="eastAsia" w:ascii="仿宋" w:hAnsi="仿宋" w:eastAsia="仿宋"/>
                <w:kern w:val="0"/>
                <w:sz w:val="24"/>
              </w:rPr>
              <w:t>年初预算数</w:t>
            </w:r>
          </w:p>
        </w:tc>
        <w:tc>
          <w:tcPr>
            <w:tcW w:w="2027" w:type="dxa"/>
            <w:gridSpan w:val="3"/>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r>
              <w:rPr>
                <w:rFonts w:hint="eastAsia" w:ascii="仿宋" w:hAnsi="仿宋" w:eastAsia="仿宋"/>
                <w:kern w:val="0"/>
                <w:sz w:val="24"/>
              </w:rPr>
              <w:t>全年预算数</w:t>
            </w:r>
          </w:p>
        </w:tc>
        <w:tc>
          <w:tcPr>
            <w:tcW w:w="2293" w:type="dxa"/>
            <w:gridSpan w:val="2"/>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r>
              <w:rPr>
                <w:rFonts w:hint="eastAsia" w:ascii="仿宋" w:hAnsi="仿宋" w:eastAsia="仿宋"/>
                <w:kern w:val="0"/>
                <w:sz w:val="24"/>
              </w:rPr>
              <w:t>全年执行数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1620" w:type="dxa"/>
            <w:gridSpan w:val="2"/>
            <w:vMerge w:val="continue"/>
            <w:tcBorders>
              <w:left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sz w:val="24"/>
              </w:rPr>
            </w:pPr>
          </w:p>
        </w:tc>
        <w:tc>
          <w:tcPr>
            <w:tcW w:w="1903" w:type="dxa"/>
            <w:gridSpan w:val="4"/>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line="240" w:lineRule="exact"/>
              <w:jc w:val="left"/>
              <w:rPr>
                <w:rFonts w:hint="default" w:ascii="仿宋" w:hAnsi="仿宋" w:eastAsia="仿宋"/>
                <w:sz w:val="24"/>
              </w:rPr>
            </w:pPr>
            <w:r>
              <w:rPr>
                <w:rFonts w:hint="eastAsia" w:ascii="仿宋" w:hAnsi="仿宋" w:eastAsia="仿宋"/>
                <w:sz w:val="24"/>
              </w:rPr>
              <w:t>年度资金总额</w:t>
            </w:r>
          </w:p>
        </w:tc>
        <w:tc>
          <w:tcPr>
            <w:tcW w:w="1737" w:type="dxa"/>
            <w:gridSpan w:val="3"/>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line="240" w:lineRule="exact"/>
              <w:jc w:val="center"/>
              <w:rPr>
                <w:rFonts w:hint="eastAsia" w:ascii="仿宋" w:hAnsi="仿宋" w:eastAsia="仿宋"/>
                <w:sz w:val="24"/>
              </w:rPr>
            </w:pPr>
            <w:r>
              <w:rPr>
                <w:rFonts w:hint="eastAsia" w:ascii="仿宋" w:hAnsi="仿宋" w:eastAsia="仿宋"/>
                <w:sz w:val="24"/>
              </w:rPr>
              <w:t>18.3</w:t>
            </w:r>
          </w:p>
        </w:tc>
        <w:tc>
          <w:tcPr>
            <w:tcW w:w="2027" w:type="dxa"/>
            <w:gridSpan w:val="3"/>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line="240" w:lineRule="exact"/>
              <w:jc w:val="center"/>
              <w:rPr>
                <w:rFonts w:hint="eastAsia" w:ascii="仿宋" w:hAnsi="仿宋" w:eastAsia="仿宋"/>
                <w:sz w:val="24"/>
              </w:rPr>
            </w:pPr>
            <w:r>
              <w:rPr>
                <w:rFonts w:hint="eastAsia" w:ascii="仿宋" w:hAnsi="仿宋" w:eastAsia="仿宋"/>
                <w:sz w:val="24"/>
              </w:rPr>
              <w:t>18.3</w:t>
            </w:r>
          </w:p>
        </w:tc>
        <w:tc>
          <w:tcPr>
            <w:tcW w:w="2293" w:type="dxa"/>
            <w:gridSpan w:val="2"/>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line="240" w:lineRule="exact"/>
              <w:jc w:val="center"/>
              <w:rPr>
                <w:rFonts w:hint="eastAsia" w:ascii="仿宋" w:hAnsi="仿宋" w:eastAsia="仿宋"/>
                <w:kern w:val="0"/>
                <w:sz w:val="24"/>
              </w:rPr>
            </w:pPr>
            <w:r>
              <w:rPr>
                <w:rFonts w:hint="eastAsia" w:ascii="仿宋" w:hAnsi="仿宋" w:eastAsia="仿宋"/>
                <w:kern w:val="0"/>
                <w:sz w:val="24"/>
              </w:rPr>
              <w:t>18.3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1620" w:type="dxa"/>
            <w:gridSpan w:val="2"/>
            <w:vMerge w:val="continue"/>
            <w:tcBorders>
              <w:left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p>
        </w:tc>
        <w:tc>
          <w:tcPr>
            <w:tcW w:w="1903" w:type="dxa"/>
            <w:gridSpan w:val="4"/>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line="240" w:lineRule="exact"/>
              <w:rPr>
                <w:rFonts w:hint="default" w:ascii="仿宋" w:hAnsi="仿宋" w:eastAsia="仿宋"/>
                <w:kern w:val="0"/>
                <w:sz w:val="24"/>
              </w:rPr>
            </w:pPr>
            <w:r>
              <w:rPr>
                <w:rFonts w:hint="eastAsia" w:ascii="仿宋" w:hAnsi="仿宋" w:eastAsia="仿宋"/>
                <w:kern w:val="0"/>
                <w:sz w:val="24"/>
              </w:rPr>
              <w:t>其中：市本级</w:t>
            </w:r>
          </w:p>
          <w:p>
            <w:pPr>
              <w:widowControl/>
              <w:spacing w:beforeLines="0" w:afterLines="0" w:line="240" w:lineRule="exact"/>
              <w:jc w:val="right"/>
              <w:rPr>
                <w:rFonts w:hint="default" w:ascii="仿宋" w:hAnsi="仿宋" w:eastAsia="仿宋"/>
                <w:kern w:val="0"/>
                <w:sz w:val="24"/>
              </w:rPr>
            </w:pPr>
            <w:r>
              <w:rPr>
                <w:rFonts w:hint="eastAsia" w:ascii="仿宋" w:hAnsi="仿宋" w:eastAsia="仿宋"/>
                <w:kern w:val="0"/>
                <w:sz w:val="24"/>
              </w:rPr>
              <w:t>安排资金</w:t>
            </w:r>
          </w:p>
        </w:tc>
        <w:tc>
          <w:tcPr>
            <w:tcW w:w="1737" w:type="dxa"/>
            <w:gridSpan w:val="3"/>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line="240" w:lineRule="exact"/>
              <w:jc w:val="center"/>
              <w:rPr>
                <w:rFonts w:hint="eastAsia" w:ascii="仿宋" w:hAnsi="仿宋" w:eastAsia="仿宋"/>
                <w:kern w:val="0"/>
                <w:sz w:val="24"/>
              </w:rPr>
            </w:pPr>
            <w:r>
              <w:rPr>
                <w:rFonts w:hint="eastAsia" w:ascii="仿宋" w:hAnsi="仿宋" w:eastAsia="仿宋"/>
                <w:kern w:val="0"/>
                <w:sz w:val="24"/>
              </w:rPr>
              <w:t>18.3</w:t>
            </w:r>
          </w:p>
        </w:tc>
        <w:tc>
          <w:tcPr>
            <w:tcW w:w="2027" w:type="dxa"/>
            <w:gridSpan w:val="3"/>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line="240" w:lineRule="exact"/>
              <w:jc w:val="center"/>
              <w:rPr>
                <w:rFonts w:hint="eastAsia" w:ascii="仿宋" w:hAnsi="仿宋" w:eastAsia="仿宋"/>
                <w:kern w:val="0"/>
                <w:sz w:val="24"/>
              </w:rPr>
            </w:pPr>
            <w:r>
              <w:rPr>
                <w:rFonts w:hint="eastAsia" w:ascii="仿宋" w:hAnsi="仿宋" w:eastAsia="仿宋"/>
                <w:kern w:val="0"/>
                <w:sz w:val="24"/>
              </w:rPr>
              <w:t>18.3</w:t>
            </w:r>
          </w:p>
        </w:tc>
        <w:tc>
          <w:tcPr>
            <w:tcW w:w="2293" w:type="dxa"/>
            <w:gridSpan w:val="2"/>
            <w:tcBorders>
              <w:top w:val="single" w:color="000000" w:sz="4" w:space="0"/>
              <w:left w:val="nil"/>
              <w:bottom w:val="single" w:color="000000" w:sz="4" w:space="0"/>
              <w:right w:val="single" w:color="000000" w:sz="4" w:space="0"/>
              <w:tl2br w:val="nil"/>
              <w:tr2bl w:val="nil"/>
            </w:tcBorders>
            <w:vAlign w:val="center"/>
          </w:tcPr>
          <w:p>
            <w:pPr>
              <w:widowControl/>
              <w:spacing w:beforeLines="0" w:afterLines="0" w:line="240" w:lineRule="exact"/>
              <w:jc w:val="center"/>
              <w:rPr>
                <w:rFonts w:hint="eastAsia" w:ascii="仿宋" w:hAnsi="仿宋" w:eastAsia="仿宋"/>
                <w:kern w:val="0"/>
                <w:sz w:val="24"/>
              </w:rPr>
            </w:pPr>
            <w:r>
              <w:rPr>
                <w:rFonts w:hint="eastAsia" w:ascii="仿宋" w:hAnsi="仿宋" w:eastAsia="仿宋"/>
                <w:kern w:val="0"/>
                <w:sz w:val="24"/>
              </w:rPr>
              <w:t>18.3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779" w:type="dxa"/>
            <w:vMerge w:val="restart"/>
            <w:tcBorders>
              <w:top w:val="single" w:color="000000" w:sz="4" w:space="0"/>
              <w:left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r>
              <w:rPr>
                <w:rFonts w:hint="eastAsia" w:ascii="仿宋" w:hAnsi="仿宋" w:eastAsia="仿宋"/>
                <w:kern w:val="0"/>
                <w:sz w:val="24"/>
              </w:rPr>
              <w:t>年度总体目标</w:t>
            </w:r>
          </w:p>
        </w:tc>
        <w:tc>
          <w:tcPr>
            <w:tcW w:w="4481" w:type="dxa"/>
            <w:gridSpan w:val="8"/>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r>
              <w:rPr>
                <w:rFonts w:hint="eastAsia" w:ascii="仿宋" w:hAnsi="仿宋" w:eastAsia="仿宋"/>
                <w:kern w:val="0"/>
                <w:sz w:val="24"/>
              </w:rPr>
              <w:t>预期目标</w:t>
            </w:r>
          </w:p>
        </w:tc>
        <w:tc>
          <w:tcPr>
            <w:tcW w:w="4320" w:type="dxa"/>
            <w:gridSpan w:val="5"/>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r>
              <w:rPr>
                <w:rFonts w:hint="eastAsia" w:ascii="仿宋" w:hAnsi="仿宋" w:eastAsia="仿宋"/>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5" w:hRule="atLeast"/>
          <w:jc w:val="center"/>
        </w:trPr>
        <w:tc>
          <w:tcPr>
            <w:tcW w:w="779" w:type="dxa"/>
            <w:vMerge w:val="continue"/>
            <w:tcBorders>
              <w:left w:val="single" w:color="000000" w:sz="4" w:space="0"/>
              <w:bottom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p>
        </w:tc>
        <w:tc>
          <w:tcPr>
            <w:tcW w:w="4481" w:type="dxa"/>
            <w:gridSpan w:val="8"/>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确保分局所有办公设备正常运行，创造良好的办公环境，能高效完成工作。</w:t>
            </w:r>
          </w:p>
        </w:tc>
        <w:tc>
          <w:tcPr>
            <w:tcW w:w="4320" w:type="dxa"/>
            <w:gridSpan w:val="5"/>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分局所有办公设备正常运行，办公环境良好。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10" w:hRule="atLeast"/>
          <w:jc w:val="center"/>
        </w:trPr>
        <w:tc>
          <w:tcPr>
            <w:tcW w:w="779" w:type="dxa"/>
            <w:vMerge w:val="restart"/>
            <w:tcBorders>
              <w:top w:val="single" w:color="000000" w:sz="4" w:space="0"/>
              <w:left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r>
              <w:rPr>
                <w:rFonts w:hint="eastAsia" w:ascii="仿宋" w:hAnsi="仿宋" w:eastAsia="仿宋"/>
                <w:kern w:val="0"/>
                <w:sz w:val="24"/>
              </w:rPr>
              <w:t>绩 效 指 标</w:t>
            </w:r>
          </w:p>
        </w:tc>
        <w:tc>
          <w:tcPr>
            <w:tcW w:w="1089"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r>
              <w:rPr>
                <w:rFonts w:hint="eastAsia" w:ascii="仿宋" w:hAnsi="仿宋" w:eastAsia="仿宋"/>
                <w:kern w:val="0"/>
                <w:sz w:val="24"/>
              </w:rPr>
              <w:t>一级指标</w:t>
            </w:r>
          </w:p>
        </w:tc>
        <w:tc>
          <w:tcPr>
            <w:tcW w:w="111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r>
              <w:rPr>
                <w:rFonts w:hint="eastAsia" w:ascii="仿宋" w:hAnsi="仿宋" w:eastAsia="仿宋"/>
                <w:kern w:val="0"/>
                <w:sz w:val="24"/>
              </w:rPr>
              <w:t>二级指标</w:t>
            </w:r>
          </w:p>
        </w:tc>
        <w:tc>
          <w:tcPr>
            <w:tcW w:w="117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r>
              <w:rPr>
                <w:rFonts w:hint="eastAsia" w:ascii="仿宋" w:hAnsi="仿宋" w:eastAsia="仿宋"/>
                <w:kern w:val="0"/>
                <w:sz w:val="24"/>
              </w:rPr>
              <w:t>三级指标</w:t>
            </w:r>
          </w:p>
        </w:tc>
        <w:tc>
          <w:tcPr>
            <w:tcW w:w="110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r>
              <w:rPr>
                <w:rFonts w:hint="eastAsia" w:ascii="仿宋" w:hAnsi="仿宋" w:eastAsia="仿宋"/>
                <w:kern w:val="0"/>
                <w:sz w:val="24"/>
              </w:rPr>
              <w:t>年度指标值</w:t>
            </w:r>
          </w:p>
        </w:tc>
        <w:tc>
          <w:tcPr>
            <w:tcW w:w="100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r>
              <w:rPr>
                <w:rFonts w:hint="eastAsia" w:ascii="仿宋" w:hAnsi="仿宋" w:eastAsia="仿宋"/>
                <w:kern w:val="0"/>
                <w:sz w:val="24"/>
              </w:rPr>
              <w:t>实际完成值</w:t>
            </w:r>
          </w:p>
        </w:tc>
        <w:tc>
          <w:tcPr>
            <w:tcW w:w="82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r>
              <w:rPr>
                <w:rFonts w:hint="eastAsia" w:ascii="仿宋" w:hAnsi="仿宋" w:eastAsia="仿宋"/>
                <w:kern w:val="0"/>
                <w:sz w:val="24"/>
              </w:rPr>
              <w:t>权重</w:t>
            </w:r>
          </w:p>
        </w:tc>
        <w:tc>
          <w:tcPr>
            <w:tcW w:w="68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r>
              <w:rPr>
                <w:rFonts w:hint="eastAsia" w:ascii="仿宋" w:hAnsi="仿宋" w:eastAsia="仿宋"/>
                <w:kern w:val="0"/>
                <w:sz w:val="24"/>
              </w:rPr>
              <w:t>得分</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r>
              <w:rPr>
                <w:rFonts w:hint="eastAsia" w:ascii="仿宋" w:hAnsi="仿宋" w:eastAsia="仿宋"/>
                <w:kern w:val="0"/>
                <w:sz w:val="24"/>
              </w:rPr>
              <w:t>偏差原因分析及改进措施</w:t>
            </w:r>
            <w:r>
              <w:rPr>
                <w:rFonts w:hint="eastAsia" w:ascii="仿宋" w:hAnsi="仿宋" w:eastAsia="仿宋"/>
                <w:b/>
                <w:kern w:val="0"/>
                <w:sz w:val="24"/>
              </w:rPr>
              <w:t>（必填项，可另附说明）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779" w:type="dxa"/>
            <w:vMerge w:val="continue"/>
            <w:tcBorders>
              <w:left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sz w:val="24"/>
              </w:rPr>
            </w:pPr>
          </w:p>
        </w:tc>
        <w:tc>
          <w:tcPr>
            <w:tcW w:w="1089" w:type="dxa"/>
            <w:gridSpan w:val="3"/>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r>
              <w:rPr>
                <w:rFonts w:hint="eastAsia" w:ascii="仿宋" w:hAnsi="仿宋" w:eastAsia="仿宋"/>
                <w:kern w:val="0"/>
                <w:sz w:val="24"/>
              </w:rPr>
              <w:t>产出指标（50分）</w:t>
            </w:r>
          </w:p>
        </w:tc>
        <w:tc>
          <w:tcPr>
            <w:tcW w:w="1116" w:type="dxa"/>
            <w:tcBorders>
              <w:top w:val="single" w:color="000000" w:sz="4" w:space="0"/>
              <w:left w:val="single" w:color="000000" w:sz="4" w:space="0"/>
              <w:right w:val="single" w:color="000000"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数量指标</w:t>
            </w:r>
          </w:p>
        </w:tc>
        <w:tc>
          <w:tcPr>
            <w:tcW w:w="227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租用链路17条，运维1名</w:t>
            </w:r>
          </w:p>
        </w:tc>
        <w:tc>
          <w:tcPr>
            <w:tcW w:w="100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100%</w:t>
            </w:r>
          </w:p>
        </w:tc>
        <w:tc>
          <w:tcPr>
            <w:tcW w:w="82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15</w:t>
            </w:r>
          </w:p>
        </w:tc>
        <w:tc>
          <w:tcPr>
            <w:tcW w:w="68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15</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779" w:type="dxa"/>
            <w:vMerge w:val="continue"/>
            <w:tcBorders>
              <w:left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sz w:val="24"/>
              </w:rPr>
            </w:pPr>
          </w:p>
        </w:tc>
        <w:tc>
          <w:tcPr>
            <w:tcW w:w="1089"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sz w:val="24"/>
              </w:rPr>
            </w:pPr>
          </w:p>
        </w:tc>
        <w:tc>
          <w:tcPr>
            <w:tcW w:w="1116" w:type="dxa"/>
            <w:tcBorders>
              <w:top w:val="single" w:color="000000" w:sz="4" w:space="0"/>
              <w:left w:val="single" w:color="000000" w:sz="4" w:space="0"/>
              <w:right w:val="single" w:color="000000"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质量指标</w:t>
            </w:r>
          </w:p>
        </w:tc>
        <w:tc>
          <w:tcPr>
            <w:tcW w:w="227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工作合格率达95%以上</w:t>
            </w:r>
          </w:p>
        </w:tc>
        <w:tc>
          <w:tcPr>
            <w:tcW w:w="100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100%</w:t>
            </w:r>
          </w:p>
        </w:tc>
        <w:tc>
          <w:tcPr>
            <w:tcW w:w="82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15</w:t>
            </w:r>
          </w:p>
        </w:tc>
        <w:tc>
          <w:tcPr>
            <w:tcW w:w="68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15</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779" w:type="dxa"/>
            <w:vMerge w:val="continue"/>
            <w:tcBorders>
              <w:left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p>
        </w:tc>
        <w:tc>
          <w:tcPr>
            <w:tcW w:w="1089"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p>
        </w:tc>
        <w:tc>
          <w:tcPr>
            <w:tcW w:w="1116" w:type="dxa"/>
            <w:tcBorders>
              <w:top w:val="single" w:color="000000" w:sz="4" w:space="0"/>
              <w:left w:val="single" w:color="000000" w:sz="4" w:space="0"/>
              <w:right w:val="single" w:color="000000"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时效指标</w:t>
            </w:r>
          </w:p>
        </w:tc>
        <w:tc>
          <w:tcPr>
            <w:tcW w:w="227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当年项目进度计划完成率达95%以上</w:t>
            </w:r>
          </w:p>
        </w:tc>
        <w:tc>
          <w:tcPr>
            <w:tcW w:w="100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100%</w:t>
            </w:r>
          </w:p>
        </w:tc>
        <w:tc>
          <w:tcPr>
            <w:tcW w:w="82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10</w:t>
            </w:r>
          </w:p>
        </w:tc>
        <w:tc>
          <w:tcPr>
            <w:tcW w:w="68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10</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779" w:type="dxa"/>
            <w:vMerge w:val="continue"/>
            <w:tcBorders>
              <w:left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p>
        </w:tc>
        <w:tc>
          <w:tcPr>
            <w:tcW w:w="1089"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p>
        </w:tc>
        <w:tc>
          <w:tcPr>
            <w:tcW w:w="1116" w:type="dxa"/>
            <w:tcBorders>
              <w:top w:val="single" w:color="000000" w:sz="4" w:space="0"/>
              <w:left w:val="single" w:color="000000" w:sz="4" w:space="0"/>
              <w:right w:val="single" w:color="000000"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成本指标</w:t>
            </w:r>
          </w:p>
        </w:tc>
        <w:tc>
          <w:tcPr>
            <w:tcW w:w="227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控制在预算之中</w:t>
            </w:r>
          </w:p>
        </w:tc>
        <w:tc>
          <w:tcPr>
            <w:tcW w:w="100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100%</w:t>
            </w:r>
          </w:p>
        </w:tc>
        <w:tc>
          <w:tcPr>
            <w:tcW w:w="82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10</w:t>
            </w:r>
          </w:p>
        </w:tc>
        <w:tc>
          <w:tcPr>
            <w:tcW w:w="68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10</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779" w:type="dxa"/>
            <w:vMerge w:val="continue"/>
            <w:tcBorders>
              <w:left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p>
        </w:tc>
        <w:tc>
          <w:tcPr>
            <w:tcW w:w="1089" w:type="dxa"/>
            <w:gridSpan w:val="3"/>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r>
              <w:rPr>
                <w:rFonts w:hint="eastAsia" w:ascii="仿宋" w:hAnsi="仿宋" w:eastAsia="仿宋"/>
                <w:kern w:val="0"/>
                <w:sz w:val="24"/>
              </w:rPr>
              <w:t>效益指标（30分）</w:t>
            </w:r>
          </w:p>
        </w:tc>
        <w:tc>
          <w:tcPr>
            <w:tcW w:w="1116" w:type="dxa"/>
            <w:tcBorders>
              <w:top w:val="single" w:color="000000" w:sz="4" w:space="0"/>
              <w:left w:val="single" w:color="000000" w:sz="4" w:space="0"/>
              <w:right w:val="single" w:color="000000"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经济效益指标</w:t>
            </w:r>
          </w:p>
        </w:tc>
        <w:tc>
          <w:tcPr>
            <w:tcW w:w="227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信息传递方便快捷，减少人力奔波</w:t>
            </w:r>
          </w:p>
        </w:tc>
        <w:tc>
          <w:tcPr>
            <w:tcW w:w="100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100%</w:t>
            </w:r>
          </w:p>
        </w:tc>
        <w:tc>
          <w:tcPr>
            <w:tcW w:w="82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10</w:t>
            </w:r>
          </w:p>
        </w:tc>
        <w:tc>
          <w:tcPr>
            <w:tcW w:w="68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10</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779" w:type="dxa"/>
            <w:vMerge w:val="continue"/>
            <w:tcBorders>
              <w:left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sz w:val="24"/>
              </w:rPr>
            </w:pPr>
          </w:p>
        </w:tc>
        <w:tc>
          <w:tcPr>
            <w:tcW w:w="1089"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sz w:val="24"/>
              </w:rPr>
            </w:pPr>
          </w:p>
        </w:tc>
        <w:tc>
          <w:tcPr>
            <w:tcW w:w="1116" w:type="dxa"/>
            <w:tcBorders>
              <w:top w:val="single" w:color="000000" w:sz="4" w:space="0"/>
              <w:left w:val="single" w:color="000000" w:sz="4" w:space="0"/>
              <w:right w:val="single" w:color="000000"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社会效益指标</w:t>
            </w:r>
          </w:p>
        </w:tc>
        <w:tc>
          <w:tcPr>
            <w:tcW w:w="227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提供稳定的网络，方便业务开展</w:t>
            </w:r>
          </w:p>
        </w:tc>
        <w:tc>
          <w:tcPr>
            <w:tcW w:w="100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100%</w:t>
            </w:r>
          </w:p>
        </w:tc>
        <w:tc>
          <w:tcPr>
            <w:tcW w:w="82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15</w:t>
            </w:r>
          </w:p>
        </w:tc>
        <w:tc>
          <w:tcPr>
            <w:tcW w:w="68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15</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779" w:type="dxa"/>
            <w:vMerge w:val="continue"/>
            <w:tcBorders>
              <w:left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p>
        </w:tc>
        <w:tc>
          <w:tcPr>
            <w:tcW w:w="1089"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p>
        </w:tc>
        <w:tc>
          <w:tcPr>
            <w:tcW w:w="1116" w:type="dxa"/>
            <w:tcBorders>
              <w:top w:val="single" w:color="000000" w:sz="4" w:space="0"/>
              <w:left w:val="single" w:color="000000" w:sz="4" w:space="0"/>
              <w:right w:val="single" w:color="000000"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可持续影响指标</w:t>
            </w:r>
          </w:p>
        </w:tc>
        <w:tc>
          <w:tcPr>
            <w:tcW w:w="2276"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为以后的信息化发展夯实基础</w:t>
            </w:r>
          </w:p>
        </w:tc>
        <w:tc>
          <w:tcPr>
            <w:tcW w:w="100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100%</w:t>
            </w:r>
          </w:p>
        </w:tc>
        <w:tc>
          <w:tcPr>
            <w:tcW w:w="82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15</w:t>
            </w:r>
          </w:p>
        </w:tc>
        <w:tc>
          <w:tcPr>
            <w:tcW w:w="68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15</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jc w:val="center"/>
        </w:trPr>
        <w:tc>
          <w:tcPr>
            <w:tcW w:w="779" w:type="dxa"/>
            <w:vMerge w:val="continue"/>
            <w:tcBorders>
              <w:left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p>
        </w:tc>
        <w:tc>
          <w:tcPr>
            <w:tcW w:w="1089" w:type="dxa"/>
            <w:gridSpan w:val="3"/>
            <w:tcBorders>
              <w:top w:val="single" w:color="000000" w:sz="4" w:space="0"/>
              <w:left w:val="single" w:color="000000" w:sz="4" w:space="0"/>
              <w:bottom w:val="single" w:color="000000" w:sz="4" w:space="0"/>
              <w:right w:val="single" w:color="auto" w:sz="4" w:space="0"/>
              <w:tl2br w:val="nil"/>
              <w:tr2bl w:val="nil"/>
            </w:tcBorders>
            <w:vAlign w:val="center"/>
          </w:tcPr>
          <w:p>
            <w:pPr>
              <w:widowControl/>
              <w:spacing w:beforeLines="0" w:afterLines="0" w:line="240" w:lineRule="exact"/>
              <w:jc w:val="center"/>
              <w:rPr>
                <w:rFonts w:hint="default" w:ascii="仿宋" w:hAnsi="仿宋" w:eastAsia="仿宋"/>
                <w:kern w:val="0"/>
                <w:sz w:val="24"/>
              </w:rPr>
            </w:pPr>
            <w:r>
              <w:rPr>
                <w:rFonts w:hint="eastAsia" w:ascii="仿宋" w:hAnsi="仿宋" w:eastAsia="仿宋"/>
                <w:kern w:val="0"/>
                <w:sz w:val="24"/>
              </w:rPr>
              <w:t>满意度指标（10分）</w:t>
            </w:r>
          </w:p>
        </w:tc>
        <w:tc>
          <w:tcPr>
            <w:tcW w:w="111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服务对象满意度指标</w:t>
            </w:r>
          </w:p>
        </w:tc>
        <w:tc>
          <w:tcPr>
            <w:tcW w:w="2276" w:type="dxa"/>
            <w:gridSpan w:val="4"/>
            <w:tcBorders>
              <w:top w:val="single" w:color="000000" w:sz="4" w:space="0"/>
              <w:left w:val="single" w:color="auto" w:sz="4" w:space="0"/>
              <w:bottom w:val="single" w:color="000000" w:sz="4" w:space="0"/>
              <w:right w:val="single" w:color="000000"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kern w:val="0"/>
                <w:sz w:val="24"/>
              </w:rPr>
              <w:t>对来机关办事的老百姓提供一个好的环境</w:t>
            </w:r>
          </w:p>
        </w:tc>
        <w:tc>
          <w:tcPr>
            <w:tcW w:w="100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100%</w:t>
            </w:r>
          </w:p>
        </w:tc>
        <w:tc>
          <w:tcPr>
            <w:tcW w:w="82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eastAsia" w:ascii="仿宋" w:hAnsi="仿宋" w:eastAsia="仿宋"/>
                <w:kern w:val="0"/>
                <w:sz w:val="24"/>
              </w:rPr>
            </w:pPr>
            <w:r>
              <w:rPr>
                <w:rFonts w:hint="eastAsia" w:ascii="仿宋" w:hAnsi="仿宋" w:eastAsia="仿宋"/>
                <w:kern w:val="0"/>
                <w:sz w:val="24"/>
              </w:rPr>
              <w:t>10</w:t>
            </w:r>
          </w:p>
        </w:tc>
        <w:tc>
          <w:tcPr>
            <w:tcW w:w="68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tabs>
                <w:tab w:val="left" w:pos="357"/>
              </w:tabs>
              <w:spacing w:beforeLines="0" w:afterLines="0"/>
              <w:jc w:val="center"/>
              <w:rPr>
                <w:rFonts w:hint="eastAsia" w:ascii="仿宋" w:hAnsi="仿宋" w:eastAsia="仿宋"/>
                <w:kern w:val="0"/>
                <w:sz w:val="24"/>
              </w:rPr>
            </w:pPr>
            <w:r>
              <w:rPr>
                <w:rFonts w:hint="eastAsia" w:ascii="仿宋" w:hAnsi="仿宋" w:eastAsia="仿宋"/>
                <w:kern w:val="0"/>
                <w:sz w:val="24"/>
              </w:rPr>
              <w:t>8</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jc w:val="center"/>
              <w:rPr>
                <w:rFonts w:hint="default" w:ascii="仿宋" w:hAnsi="仿宋" w:eastAsia="仿宋"/>
                <w:kern w:val="0"/>
                <w:sz w:val="24"/>
              </w:rPr>
            </w:pPr>
            <w:r>
              <w:rPr>
                <w:rFonts w:hint="eastAsia" w:ascii="仿宋" w:hAnsi="仿宋" w:eastAsia="仿宋"/>
                <w:color w:val="000000"/>
                <w:kern w:val="0"/>
                <w:sz w:val="24"/>
              </w:rPr>
              <w:t>定期对办公环境及配套设施进行维护保养，保障办公环境，提升办事群众满意率。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jc w:val="center"/>
        </w:trPr>
        <w:tc>
          <w:tcPr>
            <w:tcW w:w="779" w:type="dxa"/>
            <w:tcBorders>
              <w:left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p>
        </w:tc>
        <w:tc>
          <w:tcPr>
            <w:tcW w:w="1089" w:type="dxa"/>
            <w:gridSpan w:val="3"/>
            <w:tcBorders>
              <w:top w:val="single" w:color="000000" w:sz="4" w:space="0"/>
              <w:left w:val="single" w:color="000000" w:sz="4" w:space="0"/>
              <w:bottom w:val="single" w:color="000000" w:sz="4" w:space="0"/>
              <w:right w:val="single" w:color="auto" w:sz="4" w:space="0"/>
              <w:tl2br w:val="nil"/>
              <w:tr2bl w:val="nil"/>
            </w:tcBorders>
            <w:vAlign w:val="center"/>
          </w:tcPr>
          <w:p>
            <w:pPr>
              <w:widowControl/>
              <w:spacing w:beforeLines="0" w:afterLines="0" w:line="240" w:lineRule="exact"/>
              <w:jc w:val="center"/>
              <w:rPr>
                <w:rFonts w:hint="default" w:ascii="仿宋" w:hAnsi="仿宋" w:eastAsia="仿宋"/>
                <w:kern w:val="0"/>
                <w:sz w:val="24"/>
              </w:rPr>
            </w:pPr>
            <w:r>
              <w:rPr>
                <w:rFonts w:hint="eastAsia" w:ascii="仿宋" w:hAnsi="仿宋" w:eastAsia="仿宋"/>
                <w:kern w:val="0"/>
                <w:sz w:val="24"/>
              </w:rPr>
              <w:t>执行率指标（10分）</w:t>
            </w:r>
          </w:p>
        </w:tc>
        <w:tc>
          <w:tcPr>
            <w:tcW w:w="4398" w:type="dxa"/>
            <w:gridSpan w:val="6"/>
            <w:tcBorders>
              <w:top w:val="single" w:color="auto" w:sz="4" w:space="0"/>
              <w:left w:val="single" w:color="auto" w:sz="4" w:space="0"/>
              <w:bottom w:val="single" w:color="auto" w:sz="4" w:space="0"/>
              <w:right w:val="single" w:color="000000" w:sz="4" w:space="0"/>
              <w:tl2br w:val="nil"/>
              <w:tr2bl w:val="nil"/>
            </w:tcBorders>
            <w:vAlign w:val="center"/>
          </w:tcPr>
          <w:p>
            <w:pPr>
              <w:widowControl/>
              <w:spacing w:beforeLines="0" w:afterLines="0" w:line="240" w:lineRule="exact"/>
              <w:rPr>
                <w:rFonts w:hint="default" w:ascii="仿宋" w:hAnsi="仿宋" w:eastAsia="仿宋"/>
                <w:kern w:val="0"/>
                <w:sz w:val="24"/>
              </w:rPr>
            </w:pPr>
            <w:r>
              <w:rPr>
                <w:rFonts w:hint="eastAsia" w:ascii="仿宋" w:hAnsi="仿宋" w:eastAsia="仿宋"/>
                <w:kern w:val="0"/>
                <w:sz w:val="24"/>
              </w:rPr>
              <w:t>资金执行率：（计算方式：执行率自评得分=资金执行率*10）</w:t>
            </w:r>
          </w:p>
        </w:tc>
        <w:tc>
          <w:tcPr>
            <w:tcW w:w="82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40" w:lineRule="exact"/>
              <w:jc w:val="center"/>
              <w:rPr>
                <w:rFonts w:hint="eastAsia" w:ascii="仿宋" w:hAnsi="仿宋" w:eastAsia="仿宋"/>
                <w:kern w:val="0"/>
                <w:sz w:val="24"/>
              </w:rPr>
            </w:pPr>
            <w:r>
              <w:rPr>
                <w:rFonts w:hint="eastAsia" w:ascii="仿宋" w:hAnsi="仿宋" w:eastAsia="仿宋"/>
                <w:kern w:val="0"/>
                <w:sz w:val="24"/>
              </w:rPr>
              <w:t>10</w:t>
            </w:r>
          </w:p>
        </w:tc>
        <w:tc>
          <w:tcPr>
            <w:tcW w:w="68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tabs>
                <w:tab w:val="left" w:pos="357"/>
              </w:tabs>
              <w:spacing w:beforeLines="0" w:afterLines="0" w:line="240" w:lineRule="exact"/>
              <w:jc w:val="left"/>
              <w:rPr>
                <w:rFonts w:hint="eastAsia" w:ascii="仿宋" w:hAnsi="仿宋" w:eastAsia="仿宋"/>
                <w:kern w:val="0"/>
                <w:sz w:val="24"/>
              </w:rPr>
            </w:pPr>
            <w:r>
              <w:rPr>
                <w:rFonts w:hint="eastAsia" w:ascii="仿宋" w:hAnsi="仿宋" w:eastAsia="仿宋"/>
                <w:kern w:val="0"/>
                <w:sz w:val="24"/>
              </w:rPr>
              <w:t>10</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779" w:type="dxa"/>
            <w:tcBorders>
              <w:left w:val="single" w:color="000000" w:sz="4" w:space="0"/>
              <w:bottom w:val="single" w:color="auto"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p>
        </w:tc>
        <w:tc>
          <w:tcPr>
            <w:tcW w:w="5487" w:type="dxa"/>
            <w:gridSpan w:val="9"/>
            <w:tcBorders>
              <w:top w:val="single" w:color="000000" w:sz="4" w:space="0"/>
              <w:left w:val="single" w:color="000000" w:sz="4" w:space="0"/>
              <w:bottom w:val="single" w:color="auto"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r>
              <w:rPr>
                <w:rFonts w:hint="eastAsia" w:ascii="仿宋" w:hAnsi="仿宋" w:eastAsia="仿宋"/>
                <w:kern w:val="0"/>
                <w:sz w:val="24"/>
              </w:rPr>
              <w:t>总分</w:t>
            </w:r>
          </w:p>
        </w:tc>
        <w:tc>
          <w:tcPr>
            <w:tcW w:w="821" w:type="dxa"/>
            <w:tcBorders>
              <w:top w:val="single" w:color="000000" w:sz="4" w:space="0"/>
              <w:left w:val="single" w:color="000000" w:sz="4" w:space="0"/>
              <w:bottom w:val="single" w:color="auto" w:sz="4" w:space="0"/>
              <w:right w:val="single" w:color="000000" w:sz="4" w:space="0"/>
              <w:tl2br w:val="nil"/>
              <w:tr2bl w:val="nil"/>
            </w:tcBorders>
            <w:vAlign w:val="center"/>
          </w:tcPr>
          <w:p>
            <w:pPr>
              <w:widowControl/>
              <w:spacing w:beforeLines="0" w:afterLines="0" w:line="240" w:lineRule="exact"/>
              <w:jc w:val="center"/>
              <w:rPr>
                <w:rFonts w:hint="eastAsia" w:ascii="仿宋" w:hAnsi="仿宋" w:eastAsia="仿宋"/>
                <w:kern w:val="0"/>
                <w:sz w:val="24"/>
              </w:rPr>
            </w:pPr>
            <w:r>
              <w:rPr>
                <w:rFonts w:hint="eastAsia" w:ascii="仿宋" w:hAnsi="仿宋" w:eastAsia="仿宋"/>
                <w:kern w:val="0"/>
                <w:sz w:val="24"/>
              </w:rPr>
              <w:t>100</w:t>
            </w:r>
          </w:p>
        </w:tc>
        <w:tc>
          <w:tcPr>
            <w:tcW w:w="685" w:type="dxa"/>
            <w:gridSpan w:val="2"/>
            <w:tcBorders>
              <w:top w:val="single" w:color="000000" w:sz="4" w:space="0"/>
              <w:left w:val="single" w:color="000000" w:sz="4" w:space="0"/>
              <w:bottom w:val="single" w:color="auto" w:sz="4" w:space="0"/>
              <w:right w:val="single" w:color="000000" w:sz="4" w:space="0"/>
              <w:tl2br w:val="nil"/>
              <w:tr2bl w:val="nil"/>
            </w:tcBorders>
            <w:vAlign w:val="center"/>
          </w:tcPr>
          <w:p>
            <w:pPr>
              <w:widowControl/>
              <w:tabs>
                <w:tab w:val="left" w:pos="357"/>
              </w:tabs>
              <w:spacing w:beforeLines="0" w:afterLines="0" w:line="240" w:lineRule="exact"/>
              <w:jc w:val="left"/>
              <w:rPr>
                <w:rFonts w:hint="eastAsia" w:ascii="仿宋" w:hAnsi="仿宋" w:eastAsia="仿宋"/>
                <w:kern w:val="0"/>
                <w:sz w:val="24"/>
              </w:rPr>
            </w:pPr>
            <w:r>
              <w:rPr>
                <w:rFonts w:hint="eastAsia" w:ascii="仿宋" w:hAnsi="仿宋" w:eastAsia="仿宋"/>
                <w:kern w:val="0"/>
                <w:sz w:val="24"/>
              </w:rPr>
              <w:t>98</w:t>
            </w:r>
          </w:p>
        </w:tc>
        <w:tc>
          <w:tcPr>
            <w:tcW w:w="1808" w:type="dxa"/>
            <w:tcBorders>
              <w:top w:val="single" w:color="000000" w:sz="4" w:space="0"/>
              <w:left w:val="single" w:color="000000" w:sz="4" w:space="0"/>
              <w:bottom w:val="single" w:color="auto"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6" w:hRule="atLeast"/>
          <w:jc w:val="center"/>
        </w:trPr>
        <w:tc>
          <w:tcPr>
            <w:tcW w:w="1767"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仿宋" w:hAnsi="仿宋" w:eastAsia="仿宋"/>
                <w:kern w:val="0"/>
                <w:sz w:val="24"/>
              </w:rPr>
            </w:pPr>
            <w:r>
              <w:rPr>
                <w:rFonts w:hint="eastAsia" w:ascii="仿宋" w:hAnsi="仿宋" w:eastAsia="仿宋"/>
                <w:kern w:val="0"/>
                <w:sz w:val="24"/>
              </w:rPr>
              <w:t>评价结果</w:t>
            </w:r>
          </w:p>
        </w:tc>
        <w:tc>
          <w:tcPr>
            <w:tcW w:w="5320" w:type="dxa"/>
            <w:gridSpan w:val="8"/>
            <w:tcBorders>
              <w:top w:val="single" w:color="auto" w:sz="4" w:space="0"/>
              <w:left w:val="single" w:color="auto" w:sz="4" w:space="0"/>
              <w:bottom w:val="single" w:color="auto" w:sz="4" w:space="0"/>
              <w:right w:val="single" w:color="000000" w:sz="4" w:space="0"/>
              <w:tl2br w:val="nil"/>
              <w:tr2bl w:val="nil"/>
            </w:tcBorders>
            <w:vAlign w:val="center"/>
          </w:tcPr>
          <w:p>
            <w:pPr>
              <w:widowControl/>
              <w:spacing w:beforeLines="0" w:afterLines="0" w:line="240" w:lineRule="exact"/>
              <w:jc w:val="center"/>
              <w:rPr>
                <w:rFonts w:hint="default" w:ascii="仿宋" w:hAnsi="仿宋" w:eastAsia="仿宋"/>
                <w:kern w:val="0"/>
                <w:sz w:val="24"/>
              </w:rPr>
            </w:pPr>
            <w:r>
              <w:rPr>
                <w:rFonts w:hint="eastAsia" w:ascii="仿宋" w:hAnsi="仿宋" w:eastAsia="仿宋"/>
                <w:sz w:val="24"/>
              </w:rPr>
              <w:t>优：90分</w:t>
            </w:r>
            <w:r>
              <w:rPr>
                <w:rFonts w:hint="default" w:ascii="仿宋" w:hAnsi="仿宋" w:eastAsia="仿宋"/>
                <w:sz w:val="24"/>
              </w:rPr>
              <w:t>≤</w:t>
            </w:r>
            <w:r>
              <w:rPr>
                <w:rFonts w:hint="eastAsia" w:ascii="仿宋" w:hAnsi="仿宋" w:eastAsia="仿宋"/>
                <w:sz w:val="24"/>
              </w:rPr>
              <w:t>得分</w:t>
            </w:r>
            <w:r>
              <w:rPr>
                <w:rFonts w:hint="default" w:ascii="仿宋" w:hAnsi="仿宋" w:eastAsia="仿宋"/>
                <w:sz w:val="24"/>
              </w:rPr>
              <w:t>≤</w:t>
            </w:r>
            <w:r>
              <w:rPr>
                <w:rFonts w:hint="eastAsia" w:ascii="仿宋" w:hAnsi="仿宋" w:eastAsia="仿宋"/>
                <w:sz w:val="24"/>
              </w:rPr>
              <w:t>100分；良：80分</w:t>
            </w:r>
            <w:r>
              <w:rPr>
                <w:rFonts w:hint="default" w:ascii="仿宋" w:hAnsi="仿宋" w:eastAsia="仿宋"/>
                <w:sz w:val="24"/>
              </w:rPr>
              <w:t>≤</w:t>
            </w:r>
            <w:r>
              <w:rPr>
                <w:rFonts w:hint="eastAsia" w:ascii="仿宋" w:hAnsi="仿宋" w:eastAsia="仿宋"/>
                <w:sz w:val="24"/>
              </w:rPr>
              <w:t>得分&lt;90分；中：60分</w:t>
            </w:r>
            <w:r>
              <w:rPr>
                <w:rFonts w:hint="default" w:ascii="仿宋" w:hAnsi="仿宋" w:eastAsia="仿宋"/>
                <w:sz w:val="24"/>
              </w:rPr>
              <w:t>≤</w:t>
            </w:r>
            <w:r>
              <w:rPr>
                <w:rFonts w:hint="eastAsia" w:ascii="仿宋" w:hAnsi="仿宋" w:eastAsia="仿宋"/>
                <w:sz w:val="24"/>
              </w:rPr>
              <w:t>得分&lt;80分；差：得分&lt;60分</w:t>
            </w:r>
          </w:p>
        </w:tc>
        <w:tc>
          <w:tcPr>
            <w:tcW w:w="685" w:type="dxa"/>
            <w:gridSpan w:val="2"/>
            <w:tcBorders>
              <w:top w:val="single" w:color="auto" w:sz="4" w:space="0"/>
              <w:left w:val="single" w:color="000000" w:sz="4" w:space="0"/>
              <w:bottom w:val="single" w:color="auto" w:sz="4" w:space="0"/>
              <w:right w:val="single" w:color="000000" w:sz="4" w:space="0"/>
              <w:tl2br w:val="nil"/>
              <w:tr2bl w:val="nil"/>
            </w:tcBorders>
            <w:vAlign w:val="center"/>
          </w:tcPr>
          <w:p>
            <w:pPr>
              <w:widowControl/>
              <w:tabs>
                <w:tab w:val="left" w:pos="357"/>
              </w:tabs>
              <w:spacing w:beforeLines="0" w:afterLines="0" w:line="240" w:lineRule="exact"/>
              <w:jc w:val="left"/>
              <w:rPr>
                <w:rFonts w:hint="default" w:ascii="仿宋" w:hAnsi="仿宋" w:eastAsia="仿宋"/>
                <w:kern w:val="0"/>
                <w:sz w:val="24"/>
              </w:rPr>
            </w:pPr>
            <w:r>
              <w:rPr>
                <w:rFonts w:hint="eastAsia" w:ascii="仿宋" w:hAnsi="仿宋" w:eastAsia="仿宋"/>
                <w:kern w:val="0"/>
                <w:sz w:val="24"/>
              </w:rPr>
              <w:t>优</w:t>
            </w:r>
          </w:p>
        </w:tc>
        <w:tc>
          <w:tcPr>
            <w:tcW w:w="1808" w:type="dxa"/>
            <w:tcBorders>
              <w:top w:val="single" w:color="auto" w:sz="4" w:space="0"/>
              <w:left w:val="single" w:color="000000"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仿宋" w:hAnsi="仿宋" w:eastAsia="仿宋"/>
                <w:kern w:val="0"/>
                <w:sz w:val="24"/>
              </w:rPr>
            </w:pPr>
            <w:r>
              <w:rPr>
                <w:rFonts w:hint="default" w:ascii="仿宋" w:hAnsi="仿宋" w:eastAsia="仿宋"/>
                <w:kern w:val="0"/>
                <w:sz w:val="24"/>
              </w:rPr>
              <w:t>-</w:t>
            </w:r>
          </w:p>
        </w:tc>
      </w:tr>
    </w:tbl>
    <w:p>
      <w:pPr>
        <w:autoSpaceDE w:val="0"/>
        <w:autoSpaceDN w:val="0"/>
        <w:adjustRightInd w:val="0"/>
        <w:spacing w:beforeLines="0" w:afterLines="0" w:line="560" w:lineRule="exact"/>
        <w:ind w:firstLine="560" w:firstLineChars="200"/>
        <w:rPr>
          <w:rFonts w:hint="default" w:ascii="仿宋" w:hAnsi="Times New Roman" w:eastAsia="仿宋"/>
          <w:b/>
          <w:color w:val="000000"/>
          <w:sz w:val="28"/>
          <w:highlight w:val="white"/>
        </w:rPr>
      </w:pPr>
      <w:r>
        <w:rPr>
          <w:rFonts w:hint="eastAsia" w:ascii="仿宋" w:hAnsi="Times New Roman" w:eastAsia="仿宋"/>
          <w:b/>
          <w:color w:val="000000"/>
          <w:sz w:val="28"/>
          <w:highlight w:val="white"/>
        </w:rPr>
        <w:t xml:space="preserve">3.财政评价项目绩效评价结果 </w:t>
      </w:r>
      <w:r>
        <w:rPr>
          <w:rFonts w:hint="default" w:ascii="Times New Roman" w:hAnsi="Times New Roman" w:eastAsia="仿宋"/>
          <w:b/>
          <w:color w:val="000000"/>
          <w:sz w:val="28"/>
          <w:highlight w:val="white"/>
        </w:rPr>
        <w:t>“</w:t>
      </w:r>
      <w:r>
        <w:rPr>
          <w:rFonts w:hint="eastAsia" w:ascii="仿宋" w:hAnsi="Times New Roman" w:eastAsia="仿宋"/>
          <w:b/>
          <w:color w:val="000000"/>
          <w:sz w:val="28"/>
          <w:highlight w:val="white"/>
        </w:rPr>
        <w:t>无</w:t>
      </w:r>
      <w:r>
        <w:rPr>
          <w:rFonts w:hint="default" w:ascii="Times New Roman" w:hAnsi="Times New Roman" w:eastAsia="仿宋"/>
          <w:b/>
          <w:color w:val="000000"/>
          <w:sz w:val="28"/>
          <w:highlight w:val="white"/>
        </w:rPr>
        <w:t>”</w:t>
      </w:r>
      <w:r>
        <w:rPr>
          <w:rFonts w:hint="eastAsia" w:ascii="仿宋" w:hAnsi="Times New Roman" w:eastAsia="仿宋"/>
          <w:b/>
          <w:color w:val="000000"/>
          <w:sz w:val="28"/>
          <w:highlight w:val="white"/>
        </w:rPr>
        <w:t>。</w:t>
      </w:r>
    </w:p>
    <w:p>
      <w:pPr>
        <w:autoSpaceDE w:val="0"/>
        <w:autoSpaceDN w:val="0"/>
        <w:adjustRightInd w:val="0"/>
        <w:spacing w:beforeLines="0" w:afterLines="0" w:line="560" w:lineRule="exact"/>
        <w:ind w:firstLine="594"/>
        <w:rPr>
          <w:rFonts w:hint="default" w:ascii="仿宋" w:hAnsi="Times New Roman" w:eastAsia="仿宋"/>
          <w:b/>
          <w:color w:val="000000"/>
          <w:sz w:val="28"/>
          <w:highlight w:val="white"/>
        </w:rPr>
      </w:pPr>
      <w:r>
        <w:rPr>
          <w:rFonts w:hint="eastAsia" w:ascii="仿宋" w:hAnsi="Times New Roman" w:eastAsia="仿宋"/>
          <w:b/>
          <w:color w:val="000000"/>
          <w:sz w:val="28"/>
          <w:highlight w:val="white"/>
        </w:rPr>
        <w:t xml:space="preserve">4.部门评价项目绩效评价结果 </w:t>
      </w:r>
      <w:r>
        <w:rPr>
          <w:rFonts w:hint="default" w:ascii="Times New Roman" w:hAnsi="Times New Roman" w:eastAsia="仿宋"/>
          <w:b/>
          <w:color w:val="000000"/>
          <w:sz w:val="28"/>
          <w:highlight w:val="white"/>
        </w:rPr>
        <w:t>“</w:t>
      </w:r>
      <w:r>
        <w:rPr>
          <w:rFonts w:hint="eastAsia" w:ascii="仿宋" w:hAnsi="Times New Roman" w:eastAsia="仿宋"/>
          <w:b/>
          <w:color w:val="000000"/>
          <w:sz w:val="28"/>
          <w:highlight w:val="white"/>
        </w:rPr>
        <w:t>无</w:t>
      </w:r>
      <w:r>
        <w:rPr>
          <w:rFonts w:hint="default" w:ascii="Times New Roman" w:hAnsi="Times New Roman" w:eastAsia="仿宋"/>
          <w:b/>
          <w:color w:val="000000"/>
          <w:sz w:val="28"/>
          <w:highlight w:val="white"/>
        </w:rPr>
        <w:t>”</w:t>
      </w:r>
      <w:r>
        <w:rPr>
          <w:rFonts w:hint="eastAsia" w:ascii="仿宋" w:hAnsi="Times New Roman" w:eastAsia="仿宋"/>
          <w:b/>
          <w:color w:val="000000"/>
          <w:sz w:val="28"/>
          <w:highlight w:val="white"/>
        </w:rPr>
        <w:t>。</w:t>
      </w:r>
    </w:p>
    <w:p>
      <w:pPr>
        <w:autoSpaceDE w:val="0"/>
        <w:autoSpaceDN w:val="0"/>
        <w:adjustRightInd w:val="0"/>
        <w:spacing w:beforeLines="0" w:afterLines="0" w:line="560" w:lineRule="exact"/>
        <w:ind w:firstLine="594"/>
        <w:rPr>
          <w:rFonts w:hint="default" w:ascii="Times New Roman" w:hAnsi="Times New Roman" w:eastAsia="仿宋"/>
          <w:color w:val="000000"/>
          <w:sz w:val="28"/>
          <w:highlight w:val="white"/>
        </w:rPr>
      </w:pPr>
      <w:r>
        <w:rPr>
          <w:rFonts w:hint="eastAsia" w:ascii="仿宋" w:hAnsi="Times New Roman" w:eastAsia="仿宋"/>
          <w:color w:val="000000"/>
          <w:sz w:val="28"/>
          <w:highlight w:val="white"/>
        </w:rPr>
        <w:t>说明：</w:t>
      </w:r>
      <w:r>
        <w:rPr>
          <w:rFonts w:hint="eastAsia" w:ascii="仿宋" w:hAnsi="Times New Roman" w:eastAsia="仿宋"/>
          <w:b/>
          <w:color w:val="000000"/>
          <w:sz w:val="28"/>
          <w:highlight w:val="white"/>
        </w:rPr>
        <w:t>部门评价项目</w:t>
      </w:r>
      <w:r>
        <w:rPr>
          <w:rFonts w:hint="eastAsia" w:ascii="仿宋" w:hAnsi="Times New Roman" w:eastAsia="仿宋"/>
          <w:color w:val="000000"/>
          <w:sz w:val="28"/>
          <w:highlight w:val="white"/>
        </w:rPr>
        <w:t>是指本部门自行开展的评价对象为本部门政策、项目、整体支出或下属单位整体支出的绩效评价；</w:t>
      </w:r>
      <w:r>
        <w:rPr>
          <w:rFonts w:hint="eastAsia" w:ascii="仿宋" w:hAnsi="Times New Roman" w:eastAsia="仿宋"/>
          <w:b/>
          <w:color w:val="000000"/>
          <w:sz w:val="28"/>
          <w:highlight w:val="white"/>
        </w:rPr>
        <w:t>财政评价项目</w:t>
      </w:r>
      <w:r>
        <w:rPr>
          <w:rFonts w:hint="eastAsia" w:ascii="仿宋" w:hAnsi="Times New Roman" w:eastAsia="仿宋"/>
          <w:color w:val="000000"/>
          <w:sz w:val="28"/>
          <w:highlight w:val="white"/>
        </w:rPr>
        <w:t>是指以由财政部门开展的评价对象为本部门政策、项目或整体支出的绩效评价项目。</w:t>
      </w:r>
    </w:p>
    <w:p>
      <w:pPr>
        <w:autoSpaceDE w:val="0"/>
        <w:autoSpaceDN w:val="0"/>
        <w:adjustRightInd w:val="0"/>
        <w:spacing w:beforeLines="0" w:afterLines="0" w:line="560" w:lineRule="exact"/>
        <w:ind w:firstLine="600"/>
        <w:rPr>
          <w:rFonts w:hint="default" w:ascii="Times New Roman" w:hAnsi="Times New Roman" w:eastAsia="黑体"/>
          <w:b/>
          <w:color w:val="000000"/>
          <w:sz w:val="28"/>
          <w:highlight w:val="white"/>
        </w:rPr>
      </w:pPr>
      <w:r>
        <w:rPr>
          <w:rFonts w:hint="eastAsia" w:ascii="黑体" w:hAnsi="Times New Roman" w:eastAsia="黑体"/>
          <w:b/>
          <w:color w:val="000000"/>
          <w:sz w:val="28"/>
          <w:highlight w:val="white"/>
        </w:rPr>
        <w:t>四、名词解释</w:t>
      </w:r>
    </w:p>
    <w:p>
      <w:pPr>
        <w:autoSpaceDE w:val="0"/>
        <w:autoSpaceDN w:val="0"/>
        <w:adjustRightInd w:val="0"/>
        <w:spacing w:beforeLines="0" w:afterLines="0" w:line="560" w:lineRule="exact"/>
        <w:ind w:firstLine="594"/>
        <w:rPr>
          <w:rFonts w:hint="default" w:ascii="仿宋" w:hAnsi="仿宋" w:eastAsia="仿宋"/>
          <w:color w:val="000000"/>
          <w:sz w:val="28"/>
          <w:highlight w:val="white"/>
          <w:lang w:val="zh-CN"/>
        </w:rPr>
      </w:pPr>
      <w:r>
        <w:rPr>
          <w:rFonts w:hint="eastAsia" w:ascii="仿宋" w:hAnsi="仿宋" w:eastAsia="仿宋"/>
          <w:color w:val="000000"/>
          <w:sz w:val="28"/>
          <w:highlight w:val="white"/>
          <w:lang w:val="zh-CN"/>
        </w:rPr>
        <w:t>1.财政拨款收入：指本级财政部门当年拨付的财政预算资金，包括一般公共预算财政拨款、政府性基金预算财政拨款和国有资本经预算财政拨款。</w:t>
      </w:r>
    </w:p>
    <w:p>
      <w:pPr>
        <w:autoSpaceDE w:val="0"/>
        <w:autoSpaceDN w:val="0"/>
        <w:adjustRightInd w:val="0"/>
        <w:spacing w:beforeLines="0" w:afterLines="0" w:line="560" w:lineRule="exact"/>
        <w:ind w:firstLine="594"/>
        <w:rPr>
          <w:rFonts w:hint="default" w:ascii="仿宋" w:hAnsi="仿宋" w:eastAsia="仿宋"/>
          <w:color w:val="000000"/>
          <w:sz w:val="28"/>
          <w:highlight w:val="white"/>
        </w:rPr>
      </w:pPr>
      <w:r>
        <w:rPr>
          <w:rFonts w:hint="eastAsia" w:ascii="仿宋" w:hAnsi="仿宋" w:eastAsia="仿宋"/>
          <w:color w:val="000000"/>
          <w:sz w:val="28"/>
          <w:highlight w:val="white"/>
        </w:rPr>
        <w:t>2</w:t>
      </w:r>
      <w:r>
        <w:rPr>
          <w:rFonts w:hint="default" w:ascii="仿宋" w:hAnsi="仿宋" w:eastAsia="仿宋"/>
          <w:color w:val="000000"/>
          <w:sz w:val="28"/>
          <w:highlight w:val="white"/>
        </w:rPr>
        <w:t>.</w:t>
      </w:r>
      <w:r>
        <w:rPr>
          <w:rFonts w:hint="eastAsia" w:ascii="仿宋" w:hAnsi="仿宋" w:eastAsia="仿宋"/>
          <w:color w:val="000000"/>
          <w:sz w:val="28"/>
          <w:highlight w:val="white"/>
        </w:rPr>
        <w:t>基本支出：指预算单位为保障其正常运转，完成日常工作任务所发生的支出，包括人员经费支出和日常公用经费支出。</w:t>
      </w:r>
    </w:p>
    <w:p>
      <w:pPr>
        <w:autoSpaceDE w:val="0"/>
        <w:autoSpaceDN w:val="0"/>
        <w:adjustRightInd w:val="0"/>
        <w:spacing w:beforeLines="0" w:afterLines="0" w:line="560" w:lineRule="exact"/>
        <w:ind w:firstLine="594"/>
        <w:rPr>
          <w:rFonts w:hint="default" w:ascii="仿宋" w:hAnsi="仿宋" w:eastAsia="仿宋"/>
          <w:color w:val="000000"/>
          <w:sz w:val="28"/>
          <w:highlight w:val="white"/>
        </w:rPr>
      </w:pPr>
      <w:r>
        <w:rPr>
          <w:rFonts w:hint="eastAsia" w:ascii="仿宋" w:hAnsi="仿宋" w:eastAsia="仿宋"/>
          <w:color w:val="000000"/>
          <w:sz w:val="28"/>
          <w:highlight w:val="white"/>
        </w:rPr>
        <w:t>3</w:t>
      </w:r>
      <w:r>
        <w:rPr>
          <w:rFonts w:hint="default" w:ascii="仿宋" w:hAnsi="仿宋" w:eastAsia="仿宋"/>
          <w:color w:val="000000"/>
          <w:sz w:val="28"/>
          <w:highlight w:val="white"/>
        </w:rPr>
        <w:t>.</w:t>
      </w:r>
      <w:r>
        <w:rPr>
          <w:rFonts w:hint="eastAsia" w:ascii="仿宋" w:hAnsi="仿宋" w:eastAsia="仿宋"/>
          <w:color w:val="000000"/>
          <w:sz w:val="28"/>
          <w:highlight w:val="white"/>
        </w:rPr>
        <w:t>项目支出：指预算单位为完成其特定的行政工作任务或事业发展目标所发生的支出。</w:t>
      </w:r>
    </w:p>
    <w:p>
      <w:pPr>
        <w:autoSpaceDE w:val="0"/>
        <w:autoSpaceDN w:val="0"/>
        <w:adjustRightInd w:val="0"/>
        <w:spacing w:beforeLines="0" w:afterLines="0" w:line="560" w:lineRule="exact"/>
        <w:ind w:firstLine="594"/>
        <w:rPr>
          <w:rFonts w:hint="default" w:ascii="仿宋" w:hAnsi="仿宋" w:eastAsia="仿宋"/>
          <w:color w:val="000000"/>
          <w:sz w:val="28"/>
          <w:highlight w:val="white"/>
        </w:rPr>
      </w:pPr>
      <w:r>
        <w:rPr>
          <w:rFonts w:hint="eastAsia" w:ascii="仿宋" w:hAnsi="仿宋" w:eastAsia="仿宋"/>
          <w:color w:val="000000"/>
          <w:sz w:val="28"/>
          <w:highlight w:val="white"/>
        </w:rPr>
        <w:t>4</w:t>
      </w:r>
      <w:r>
        <w:rPr>
          <w:rFonts w:hint="default" w:ascii="仿宋" w:hAnsi="仿宋" w:eastAsia="仿宋"/>
          <w:color w:val="000000"/>
          <w:sz w:val="28"/>
          <w:highlight w:val="white"/>
        </w:rPr>
        <w:t>.“</w:t>
      </w:r>
      <w:r>
        <w:rPr>
          <w:rFonts w:hint="eastAsia" w:ascii="仿宋" w:hAnsi="仿宋" w:eastAsia="仿宋"/>
          <w:color w:val="000000"/>
          <w:sz w:val="28"/>
          <w:highlight w:val="white"/>
        </w:rPr>
        <w:t>三公</w:t>
      </w:r>
      <w:r>
        <w:rPr>
          <w:rFonts w:hint="default" w:ascii="仿宋" w:hAnsi="仿宋" w:eastAsia="仿宋"/>
          <w:color w:val="000000"/>
          <w:sz w:val="28"/>
          <w:highlight w:val="white"/>
        </w:rPr>
        <w:t>”</w:t>
      </w:r>
      <w:r>
        <w:rPr>
          <w:rFonts w:hint="eastAsia" w:ascii="仿宋" w:hAnsi="仿宋" w:eastAsia="仿宋"/>
          <w:color w:val="000000"/>
          <w:sz w:val="28"/>
          <w:highlight w:val="white"/>
        </w:rPr>
        <w:t>经费：纳入财政预决算管理的</w:t>
      </w:r>
      <w:r>
        <w:rPr>
          <w:rFonts w:hint="default" w:ascii="仿宋" w:hAnsi="仿宋" w:eastAsia="仿宋"/>
          <w:color w:val="000000"/>
          <w:sz w:val="28"/>
          <w:highlight w:val="white"/>
        </w:rPr>
        <w:t>“</w:t>
      </w:r>
      <w:r>
        <w:rPr>
          <w:rFonts w:hint="eastAsia" w:ascii="仿宋" w:hAnsi="仿宋" w:eastAsia="仿宋"/>
          <w:color w:val="000000"/>
          <w:sz w:val="28"/>
          <w:highlight w:val="white"/>
        </w:rPr>
        <w:t>三公</w:t>
      </w:r>
      <w:r>
        <w:rPr>
          <w:rFonts w:hint="default" w:ascii="仿宋" w:hAnsi="仿宋" w:eastAsia="仿宋"/>
          <w:color w:val="000000"/>
          <w:sz w:val="28"/>
          <w:highlight w:val="white"/>
        </w:rPr>
        <w:t>”</w:t>
      </w:r>
      <w:r>
        <w:rPr>
          <w:rFonts w:hint="eastAsia" w:ascii="仿宋" w:hAnsi="仿宋" w:eastAsia="仿宋"/>
          <w:color w:val="000000"/>
          <w:sz w:val="28"/>
          <w:highlight w:val="white"/>
        </w:rPr>
        <w:t>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autoSpaceDE w:val="0"/>
        <w:autoSpaceDN w:val="0"/>
        <w:adjustRightInd w:val="0"/>
        <w:spacing w:beforeLines="0" w:afterLines="0" w:line="560" w:lineRule="exact"/>
        <w:ind w:firstLine="594"/>
        <w:rPr>
          <w:rFonts w:hint="default" w:ascii="仿宋" w:hAnsi="仿宋" w:eastAsia="仿宋"/>
          <w:color w:val="000000"/>
          <w:sz w:val="28"/>
          <w:highlight w:val="white"/>
        </w:rPr>
      </w:pPr>
      <w:r>
        <w:rPr>
          <w:rFonts w:hint="eastAsia" w:ascii="仿宋" w:hAnsi="仿宋" w:eastAsia="仿宋"/>
          <w:color w:val="000000"/>
          <w:sz w:val="28"/>
          <w:highlight w:val="white"/>
        </w:rPr>
        <w:t>5</w:t>
      </w:r>
      <w:r>
        <w:rPr>
          <w:rFonts w:hint="default" w:ascii="仿宋" w:hAnsi="仿宋" w:eastAsia="仿宋"/>
          <w:color w:val="000000"/>
          <w:sz w:val="28"/>
          <w:highlight w:val="white"/>
        </w:rPr>
        <w:t>.</w:t>
      </w:r>
      <w:r>
        <w:rPr>
          <w:rFonts w:hint="eastAsia" w:ascii="仿宋" w:hAnsi="仿宋" w:eastAsia="仿宋"/>
          <w:color w:val="000000"/>
          <w:sz w:val="28"/>
          <w:highlight w:val="white"/>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beforeLines="0" w:afterLines="0" w:line="560" w:lineRule="exact"/>
        <w:ind w:firstLine="560" w:firstLineChars="200"/>
        <w:rPr>
          <w:rFonts w:hint="default" w:ascii="仿宋" w:hAnsi="仿宋" w:eastAsia="仿宋"/>
          <w:color w:val="000000"/>
          <w:sz w:val="28"/>
          <w:highlight w:val="white"/>
        </w:rPr>
      </w:pPr>
      <w:r>
        <w:rPr>
          <w:rFonts w:hint="eastAsia" w:ascii="仿宋" w:hAnsi="仿宋" w:eastAsia="仿宋"/>
          <w:color w:val="000000"/>
          <w:sz w:val="28"/>
          <w:highlight w:val="white"/>
        </w:rPr>
        <w:t>6</w:t>
      </w:r>
      <w:r>
        <w:rPr>
          <w:rFonts w:hint="default" w:ascii="仿宋" w:hAnsi="仿宋" w:eastAsia="仿宋"/>
          <w:color w:val="000000"/>
          <w:sz w:val="28"/>
          <w:highlight w:val="white"/>
        </w:rPr>
        <w:t>.</w:t>
      </w:r>
      <w:r>
        <w:rPr>
          <w:rFonts w:hint="eastAsia" w:ascii="仿宋" w:hAnsi="仿宋" w:eastAsia="仿宋"/>
          <w:color w:val="3D3D3D"/>
          <w:spacing w:val="-16"/>
          <w:sz w:val="28"/>
        </w:rPr>
        <w:t>教育支出(类）进修及培训（款）培训支出（项）</w:t>
      </w:r>
      <w:r>
        <w:rPr>
          <w:rFonts w:hint="eastAsia" w:ascii="仿宋" w:hAnsi="仿宋" w:eastAsia="仿宋"/>
          <w:color w:val="000000"/>
          <w:sz w:val="28"/>
          <w:highlight w:val="white"/>
        </w:rPr>
        <w:t>：反映各部门安排的用于培训的支出。教育部门的师资培训，党校、行政学院等专业干部教育机构的支出，以及退役士兵、转业士官的培训支出，不在本科目反映。</w:t>
      </w:r>
    </w:p>
    <w:p>
      <w:pPr>
        <w:pStyle w:val="5"/>
        <w:spacing w:before="0" w:beforeLines="0" w:after="0" w:afterLines="0" w:line="560" w:lineRule="exact"/>
        <w:ind w:firstLine="560" w:firstLineChars="200"/>
        <w:rPr>
          <w:rFonts w:hint="default" w:ascii="仿宋" w:hAnsi="仿宋" w:eastAsia="仿宋"/>
          <w:sz w:val="28"/>
          <w:highlight w:val="white"/>
        </w:rPr>
      </w:pPr>
      <w:r>
        <w:rPr>
          <w:rFonts w:hint="eastAsia" w:ascii="仿宋" w:hAnsi="仿宋" w:eastAsia="仿宋"/>
          <w:color w:val="000000"/>
          <w:sz w:val="28"/>
          <w:highlight w:val="white"/>
        </w:rPr>
        <w:t>7</w:t>
      </w:r>
      <w:r>
        <w:rPr>
          <w:rFonts w:hint="default" w:ascii="仿宋" w:hAnsi="仿宋" w:eastAsia="仿宋"/>
          <w:color w:val="000000"/>
          <w:sz w:val="28"/>
          <w:highlight w:val="white"/>
        </w:rPr>
        <w:t>.</w:t>
      </w:r>
      <w:r>
        <w:rPr>
          <w:rFonts w:hint="eastAsia" w:ascii="仿宋" w:hAnsi="仿宋" w:eastAsia="仿宋"/>
          <w:color w:val="3D3D3D"/>
          <w:sz w:val="28"/>
        </w:rPr>
        <w:t>社会保障和就业支出（类）行政事业单位离退休（款）机关事业单位基本养老保险缴费支出（项）指机关事业养老保险制度由单位缴纳的基本养老保险费支出。</w:t>
      </w:r>
    </w:p>
    <w:p>
      <w:pPr>
        <w:pStyle w:val="5"/>
        <w:spacing w:before="0" w:beforeLines="0" w:after="0" w:afterLines="0" w:line="560" w:lineRule="exact"/>
        <w:ind w:firstLine="560" w:firstLineChars="200"/>
        <w:rPr>
          <w:rFonts w:hint="default" w:ascii="仿宋" w:hAnsi="仿宋" w:eastAsia="仿宋"/>
          <w:sz w:val="28"/>
          <w:highlight w:val="white"/>
        </w:rPr>
      </w:pPr>
      <w:r>
        <w:rPr>
          <w:rFonts w:hint="eastAsia" w:ascii="仿宋" w:hAnsi="仿宋" w:eastAsia="仿宋"/>
          <w:color w:val="3D3D3D"/>
          <w:sz w:val="28"/>
        </w:rPr>
        <w:t>8</w:t>
      </w:r>
      <w:r>
        <w:rPr>
          <w:rFonts w:hint="default" w:ascii="仿宋" w:hAnsi="仿宋" w:eastAsia="仿宋"/>
          <w:color w:val="3D3D3D"/>
          <w:sz w:val="28"/>
        </w:rPr>
        <w:t>.</w:t>
      </w:r>
      <w:r>
        <w:rPr>
          <w:rFonts w:hint="eastAsia" w:ascii="仿宋" w:hAnsi="仿宋" w:eastAsia="仿宋"/>
          <w:color w:val="3D3D3D"/>
          <w:sz w:val="28"/>
        </w:rPr>
        <w:t>卫生健康支出（类）行政事业单位医疗（款）事业单位医疗（项）反映财政部门安排的事业单位基本医疗保险缴费经费，未参加医疗保险的行政单位的公费医疗经费，按国家规定享受离休人员待遇医疗经费。</w:t>
      </w:r>
    </w:p>
    <w:p>
      <w:pPr>
        <w:pStyle w:val="5"/>
        <w:spacing w:before="0" w:beforeLines="0" w:after="0" w:afterLines="0" w:line="560" w:lineRule="exact"/>
        <w:ind w:firstLine="496" w:firstLineChars="200"/>
        <w:rPr>
          <w:rFonts w:hint="default" w:ascii="仿宋" w:hAnsi="仿宋" w:eastAsia="仿宋"/>
          <w:sz w:val="28"/>
          <w:highlight w:val="white"/>
        </w:rPr>
      </w:pPr>
      <w:r>
        <w:rPr>
          <w:rFonts w:hint="eastAsia" w:ascii="仿宋" w:hAnsi="仿宋" w:eastAsia="仿宋"/>
          <w:color w:val="000000"/>
          <w:spacing w:val="-16"/>
          <w:sz w:val="28"/>
        </w:rPr>
        <w:t>9</w:t>
      </w:r>
      <w:r>
        <w:rPr>
          <w:rFonts w:hint="default" w:ascii="仿宋" w:hAnsi="仿宋" w:eastAsia="仿宋"/>
          <w:color w:val="000000"/>
          <w:spacing w:val="-16"/>
          <w:sz w:val="28"/>
        </w:rPr>
        <w:t>.</w:t>
      </w:r>
      <w:r>
        <w:rPr>
          <w:rFonts w:hint="eastAsia" w:ascii="仿宋" w:hAnsi="仿宋" w:eastAsia="仿宋"/>
          <w:color w:val="000000"/>
          <w:spacing w:val="-16"/>
          <w:sz w:val="28"/>
        </w:rPr>
        <w:t>自然资源海洋气象等支出（类）自然资源事务（款）行政运行（项）反映行政单位（包括实行公务员管理的事业单位）的基本支出。</w:t>
      </w:r>
    </w:p>
    <w:p>
      <w:pPr>
        <w:pStyle w:val="5"/>
        <w:spacing w:before="0" w:beforeLines="0" w:after="0" w:afterLines="0" w:line="560" w:lineRule="exact"/>
        <w:ind w:firstLine="496" w:firstLineChars="200"/>
        <w:rPr>
          <w:rFonts w:hint="default" w:ascii="仿宋" w:hAnsi="仿宋" w:eastAsia="仿宋"/>
          <w:color w:val="000000"/>
          <w:spacing w:val="-16"/>
          <w:sz w:val="28"/>
        </w:rPr>
      </w:pPr>
      <w:r>
        <w:rPr>
          <w:rFonts w:hint="eastAsia" w:ascii="仿宋" w:hAnsi="仿宋" w:eastAsia="仿宋"/>
          <w:color w:val="000000"/>
          <w:spacing w:val="-16"/>
          <w:sz w:val="28"/>
        </w:rPr>
        <w:t>1</w:t>
      </w:r>
      <w:r>
        <w:rPr>
          <w:rFonts w:hint="default" w:ascii="仿宋" w:hAnsi="仿宋" w:eastAsia="仿宋"/>
          <w:color w:val="000000"/>
          <w:spacing w:val="-16"/>
          <w:sz w:val="28"/>
        </w:rPr>
        <w:t>0.</w:t>
      </w:r>
      <w:r>
        <w:rPr>
          <w:rFonts w:hint="eastAsia" w:ascii="仿宋" w:hAnsi="仿宋" w:eastAsia="仿宋"/>
          <w:color w:val="000000"/>
          <w:spacing w:val="-16"/>
          <w:sz w:val="28"/>
        </w:rPr>
        <w:t>住房保障支出（类）住房改革支出（款）住房公积金（项）反映行政事业单位用于按人力资源和社会保障部、财政部规定的基本工资和津贴补贴以及规定比例为职工缴纳的住房公积金。</w:t>
      </w:r>
    </w:p>
    <w:p>
      <w:pPr>
        <w:spacing w:beforeLines="0" w:afterLines="0" w:line="560" w:lineRule="exact"/>
        <w:ind w:firstLine="560" w:firstLineChars="200"/>
        <w:rPr>
          <w:rFonts w:hint="default" w:ascii="仿宋" w:hAnsi="仿宋" w:eastAsia="仿宋"/>
          <w:color w:val="000000"/>
          <w:sz w:val="28"/>
          <w:highlight w:val="white"/>
        </w:rPr>
      </w:pPr>
      <w:r>
        <w:rPr>
          <w:rFonts w:hint="eastAsia" w:ascii="仿宋" w:hAnsi="仿宋" w:eastAsia="仿宋"/>
          <w:color w:val="000000"/>
          <w:sz w:val="28"/>
          <w:highlight w:val="white"/>
        </w:rPr>
        <w:t>11</w:t>
      </w:r>
      <w:r>
        <w:rPr>
          <w:rFonts w:hint="default" w:ascii="仿宋" w:hAnsi="仿宋" w:eastAsia="仿宋"/>
          <w:color w:val="000000"/>
          <w:sz w:val="28"/>
          <w:highlight w:val="white"/>
        </w:rPr>
        <w:t>.</w:t>
      </w:r>
      <w:r>
        <w:rPr>
          <w:rFonts w:hint="eastAsia" w:ascii="仿宋" w:hAnsi="仿宋" w:eastAsia="仿宋"/>
          <w:color w:val="000000"/>
          <w:sz w:val="28"/>
          <w:highlight w:val="white"/>
        </w:rPr>
        <w:t>一般公共支出（类）其他一般公共服务支出（款）其他一般公共服务支出（项）反映除上述项目以外的其他一般公共服务支出。</w:t>
      </w:r>
    </w:p>
    <w:p>
      <w:pPr>
        <w:widowControl/>
        <w:spacing w:beforeLines="0" w:afterLines="0" w:line="560" w:lineRule="exact"/>
        <w:ind w:firstLine="594"/>
        <w:rPr>
          <w:rFonts w:hint="default" w:ascii="仿宋" w:hAnsi="仿宋" w:eastAsia="仿宋"/>
          <w:color w:val="000000"/>
          <w:sz w:val="28"/>
          <w:highlight w:val="white"/>
        </w:rPr>
      </w:pPr>
      <w:r>
        <w:rPr>
          <w:rFonts w:hint="eastAsia" w:ascii="仿宋" w:hAnsi="仿宋" w:eastAsia="仿宋"/>
          <w:color w:val="000000"/>
          <w:sz w:val="28"/>
          <w:highlight w:val="white"/>
        </w:rPr>
        <w:t>12</w:t>
      </w:r>
      <w:r>
        <w:rPr>
          <w:rFonts w:hint="default" w:ascii="仿宋" w:hAnsi="仿宋" w:eastAsia="仿宋"/>
          <w:color w:val="000000"/>
          <w:sz w:val="28"/>
          <w:highlight w:val="white"/>
        </w:rPr>
        <w:t>.</w:t>
      </w:r>
      <w:r>
        <w:rPr>
          <w:rFonts w:hint="eastAsia" w:ascii="仿宋" w:hAnsi="仿宋" w:eastAsia="仿宋"/>
          <w:color w:val="3D3D3D"/>
          <w:sz w:val="28"/>
        </w:rPr>
        <w:t>社会保障和就业支出（类）行政事业单位离退休（款）未归口管理的行政单位离退休（项）</w:t>
      </w:r>
      <w:r>
        <w:rPr>
          <w:rFonts w:hint="eastAsia" w:ascii="仿宋" w:hAnsi="仿宋" w:eastAsia="仿宋"/>
          <w:color w:val="000000"/>
          <w:sz w:val="28"/>
          <w:highlight w:val="white"/>
        </w:rPr>
        <w:t>：指未实行归口单位(包括实行公务员管理的事业单位）开支的离退休支出。</w:t>
      </w:r>
    </w:p>
    <w:p>
      <w:pPr>
        <w:widowControl/>
        <w:spacing w:beforeLines="0" w:afterLines="0" w:line="560" w:lineRule="exact"/>
        <w:ind w:firstLine="560" w:firstLineChars="200"/>
        <w:jc w:val="left"/>
        <w:rPr>
          <w:rFonts w:hint="default" w:ascii="仿宋" w:hAnsi="仿宋" w:eastAsia="仿宋"/>
          <w:sz w:val="28"/>
          <w:highlight w:val="white"/>
        </w:rPr>
      </w:pPr>
      <w:r>
        <w:rPr>
          <w:rFonts w:hint="eastAsia" w:ascii="仿宋" w:hAnsi="仿宋" w:eastAsia="仿宋"/>
          <w:color w:val="000000"/>
          <w:sz w:val="28"/>
          <w:highlight w:val="white"/>
        </w:rPr>
        <w:t>13</w:t>
      </w:r>
      <w:r>
        <w:rPr>
          <w:rFonts w:hint="default" w:ascii="仿宋" w:hAnsi="仿宋" w:eastAsia="仿宋"/>
          <w:color w:val="000000"/>
          <w:sz w:val="28"/>
          <w:highlight w:val="white"/>
        </w:rPr>
        <w:t>.</w:t>
      </w:r>
      <w:r>
        <w:rPr>
          <w:rFonts w:hint="eastAsia" w:ascii="仿宋" w:hAnsi="仿宋" w:eastAsia="仿宋"/>
          <w:color w:val="3D3D3D"/>
          <w:sz w:val="28"/>
        </w:rPr>
        <w:t>社会保障和就业支出（类）行政事业单位离退休（款）机关事业单位基本养老保险缴费支出（项）指机关事业养老保险制度由单位缴纳的基本养老保险费支出。</w:t>
      </w:r>
    </w:p>
    <w:p>
      <w:pPr>
        <w:widowControl/>
        <w:spacing w:beforeLines="0" w:afterLines="0" w:line="560" w:lineRule="exact"/>
        <w:ind w:firstLine="560" w:firstLineChars="200"/>
        <w:jc w:val="left"/>
        <w:rPr>
          <w:rFonts w:hint="default" w:ascii="仿宋" w:hAnsi="仿宋" w:eastAsia="仿宋"/>
          <w:color w:val="3D3D3D"/>
          <w:sz w:val="28"/>
        </w:rPr>
      </w:pPr>
      <w:r>
        <w:rPr>
          <w:rFonts w:hint="eastAsia" w:ascii="仿宋" w:hAnsi="仿宋" w:eastAsia="仿宋"/>
          <w:color w:val="3D3D3D"/>
          <w:sz w:val="28"/>
        </w:rPr>
        <w:t>14</w:t>
      </w:r>
      <w:r>
        <w:rPr>
          <w:rFonts w:hint="default" w:ascii="仿宋" w:hAnsi="仿宋" w:eastAsia="仿宋"/>
          <w:color w:val="3D3D3D"/>
          <w:sz w:val="28"/>
        </w:rPr>
        <w:t>.</w:t>
      </w:r>
      <w:r>
        <w:rPr>
          <w:rFonts w:hint="eastAsia" w:ascii="仿宋" w:hAnsi="仿宋" w:eastAsia="仿宋"/>
          <w:color w:val="3D3D3D"/>
          <w:sz w:val="28"/>
        </w:rPr>
        <w:t>社会保障和就业支出（类）行政事业单位离退休（款）机关事业单位职业年金缴费支出（项）机关事业养老保险制度由单位实际缴纳的职业年金支出。</w:t>
      </w:r>
    </w:p>
    <w:p>
      <w:pPr>
        <w:widowControl/>
        <w:spacing w:before="100" w:beforeLines="0" w:beforeAutospacing="1" w:after="100" w:afterLines="0" w:afterAutospacing="1" w:line="560" w:lineRule="exact"/>
        <w:ind w:firstLine="560" w:firstLineChars="200"/>
        <w:jc w:val="left"/>
        <w:rPr>
          <w:rFonts w:hint="default" w:ascii="仿宋" w:hAnsi="仿宋" w:eastAsia="仿宋"/>
          <w:color w:val="3D3D3D"/>
          <w:sz w:val="28"/>
        </w:rPr>
      </w:pPr>
      <w:r>
        <w:rPr>
          <w:rFonts w:hint="eastAsia" w:ascii="仿宋" w:hAnsi="仿宋" w:eastAsia="仿宋"/>
          <w:color w:val="3D3D3D"/>
          <w:sz w:val="28"/>
        </w:rPr>
        <w:t>15</w:t>
      </w:r>
      <w:r>
        <w:rPr>
          <w:rFonts w:hint="default" w:ascii="仿宋" w:hAnsi="仿宋" w:eastAsia="仿宋"/>
          <w:color w:val="3D3D3D"/>
          <w:sz w:val="28"/>
        </w:rPr>
        <w:t>.</w:t>
      </w:r>
      <w:r>
        <w:rPr>
          <w:rFonts w:hint="eastAsia" w:ascii="仿宋" w:hAnsi="仿宋" w:eastAsia="仿宋"/>
          <w:color w:val="3D3D3D"/>
          <w:sz w:val="28"/>
        </w:rPr>
        <w:t>社会保障和就业支出（类）行政事业单位离退休（款）其他行政事业单位离退休支出（项）指除上述项目以外行政事业单位离退休方面的支出。</w:t>
      </w:r>
    </w:p>
    <w:p>
      <w:pPr>
        <w:widowControl/>
        <w:spacing w:beforeLines="0" w:afterLines="0" w:line="560" w:lineRule="exact"/>
        <w:ind w:firstLine="560" w:firstLineChars="200"/>
        <w:jc w:val="left"/>
        <w:rPr>
          <w:rFonts w:hint="default" w:ascii="仿宋" w:hAnsi="仿宋" w:eastAsia="仿宋"/>
          <w:sz w:val="28"/>
          <w:highlight w:val="white"/>
        </w:rPr>
      </w:pPr>
      <w:r>
        <w:rPr>
          <w:rFonts w:hint="eastAsia" w:ascii="仿宋" w:hAnsi="仿宋" w:eastAsia="仿宋"/>
          <w:color w:val="3D3D3D"/>
          <w:sz w:val="28"/>
        </w:rPr>
        <w:t>16</w:t>
      </w:r>
      <w:r>
        <w:rPr>
          <w:rFonts w:hint="default" w:ascii="仿宋" w:hAnsi="仿宋" w:eastAsia="仿宋"/>
          <w:color w:val="3D3D3D"/>
          <w:sz w:val="28"/>
        </w:rPr>
        <w:t>.</w:t>
      </w:r>
      <w:r>
        <w:rPr>
          <w:rFonts w:hint="eastAsia" w:ascii="仿宋" w:hAnsi="仿宋" w:eastAsia="仿宋"/>
          <w:color w:val="3D3D3D"/>
          <w:sz w:val="28"/>
        </w:rPr>
        <w:t>社会保障和就业支出（类)退役安置（款）其他退役安置支出（项）反映除上述项目以外其他用于退役安置方面的支出。</w:t>
      </w:r>
    </w:p>
    <w:p>
      <w:pPr>
        <w:autoSpaceDE w:val="0"/>
        <w:autoSpaceDN w:val="0"/>
        <w:adjustRightInd w:val="0"/>
        <w:spacing w:beforeLines="0" w:afterLines="0" w:line="560" w:lineRule="exact"/>
        <w:jc w:val="left"/>
        <w:rPr>
          <w:rFonts w:hint="default" w:ascii="仿宋" w:hAnsi="仿宋" w:eastAsia="仿宋"/>
          <w:color w:val="FF0000"/>
          <w:kern w:val="0"/>
          <w:sz w:val="28"/>
        </w:rPr>
      </w:pPr>
    </w:p>
    <w:sectPr>
      <w:footerReference r:id="rId3" w:type="default"/>
      <w:pgSz w:w="11907" w:h="16839"/>
      <w:pgMar w:top="1440" w:right="1800" w:bottom="1440" w:left="1800"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Lines="0" w:afterLines="0"/>
      <w:jc w:val="center"/>
      <w:rPr>
        <w:rFonts w:hint="default" w:eastAsia="Times New Roman"/>
        <w:sz w:val="18"/>
      </w:rPr>
    </w:pPr>
    <w:r>
      <w:rPr>
        <w:rFonts w:hint="default"/>
        <w:sz w:val="18"/>
      </w:rPr>
      <w:fldChar w:fldCharType="begin"/>
    </w:r>
    <w:r>
      <w:rPr>
        <w:rFonts w:hint="default"/>
        <w:sz w:val="18"/>
      </w:rPr>
      <w:instrText xml:space="preserve">PAGE   \* MERGEFORMAT</w:instrText>
    </w:r>
    <w:r>
      <w:rPr>
        <w:rFonts w:hint="default"/>
        <w:sz w:val="18"/>
      </w:rPr>
      <w:fldChar w:fldCharType="separate"/>
    </w:r>
    <w:r>
      <w:rPr>
        <w:rFonts w:hint="default"/>
        <w:sz w:val="18"/>
        <w:lang w:val="zh-CN"/>
      </w:rPr>
      <w:t>1</w:t>
    </w:r>
    <w:r>
      <w:rPr>
        <w:rFonts w:hint="default"/>
        <w:sz w:val="18"/>
        <w:lang w:val="zh-CN"/>
      </w:rPr>
      <w:fldChar w:fldCharType="end"/>
    </w:r>
  </w:p>
  <w:p>
    <w:pPr>
      <w:pStyle w:val="3"/>
      <w:spacing w:beforeLines="0" w:afterLines="0"/>
      <w:rPr>
        <w:rFonts w:hint="default" w:eastAsia="Times New Roman"/>
        <w:sz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hyphenationZone w:val="360"/>
  <w:drawingGridHorizontalSpacing w:val="120"/>
  <w:drawingGridVerticalSpacing w:val="120"/>
  <w:displayHorizontalDrawingGridEvery w:val="0"/>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68A4E5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eastAsia" w:ascii="Calibri" w:hAnsi="Calibri" w:eastAsia="宋体"/>
      <w:kern w:val="2"/>
      <w:sz w:val="21"/>
      <w:lang w:val="en-US" w:eastAsia="zh-CN"/>
    </w:rPr>
  </w:style>
  <w:style w:type="character" w:default="1" w:styleId="6">
    <w:name w:val="Default Paragraph Font"/>
    <w:unhideWhenUsed/>
    <w:uiPriority w:val="1"/>
    <w:rPr>
      <w:rFonts w:hint="default"/>
      <w:sz w:val="24"/>
    </w:rPr>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38"/>
    <w:unhideWhenUsed/>
    <w:uiPriority w:val="99"/>
    <w:pPr>
      <w:spacing w:beforeLines="0" w:afterLines="0"/>
    </w:pPr>
    <w:rPr>
      <w:rFonts w:hint="eastAsia"/>
      <w:sz w:val="18"/>
    </w:rPr>
  </w:style>
  <w:style w:type="paragraph" w:styleId="3">
    <w:name w:val="footer"/>
    <w:basedOn w:val="1"/>
    <w:link w:val="8"/>
    <w:unhideWhenUsed/>
    <w:uiPriority w:val="99"/>
    <w:pPr>
      <w:tabs>
        <w:tab w:val="center" w:pos="4153"/>
        <w:tab w:val="right" w:pos="8306"/>
      </w:tabs>
      <w:snapToGrid w:val="0"/>
      <w:spacing w:beforeLines="0" w:afterLines="0"/>
      <w:jc w:val="left"/>
    </w:pPr>
    <w:rPr>
      <w:rFonts w:hint="eastAsia"/>
      <w:sz w:val="18"/>
    </w:rPr>
  </w:style>
  <w:style w:type="paragraph" w:styleId="4">
    <w:name w:val="header"/>
    <w:basedOn w:val="1"/>
    <w:link w:val="9"/>
    <w:unhideWhenUsed/>
    <w:uiPriority w:val="99"/>
    <w:pPr>
      <w:pBdr>
        <w:bottom w:val="single" w:color="auto" w:sz="6" w:space="1"/>
      </w:pBdr>
      <w:tabs>
        <w:tab w:val="center" w:pos="4153"/>
        <w:tab w:val="right" w:pos="8306"/>
      </w:tabs>
      <w:snapToGrid w:val="0"/>
      <w:spacing w:beforeLines="0" w:afterLines="0"/>
      <w:jc w:val="center"/>
    </w:pPr>
    <w:rPr>
      <w:rFonts w:hint="eastAsia"/>
      <w:sz w:val="18"/>
    </w:rPr>
  </w:style>
  <w:style w:type="paragraph" w:styleId="5">
    <w:name w:val="Normal (Web)"/>
    <w:basedOn w:val="1"/>
    <w:unhideWhenUsed/>
    <w:uiPriority w:val="99"/>
    <w:pPr>
      <w:spacing w:before="100" w:beforeLines="0" w:beforeAutospacing="1" w:after="100" w:afterLines="0" w:afterAutospacing="1"/>
      <w:jc w:val="left"/>
    </w:pPr>
    <w:rPr>
      <w:rFonts w:hint="eastAsia" w:ascii="宋体" w:hAnsi="宋体"/>
      <w:sz w:val="24"/>
    </w:rPr>
  </w:style>
  <w:style w:type="character" w:customStyle="1" w:styleId="8">
    <w:name w:val="页脚 Char"/>
    <w:basedOn w:val="6"/>
    <w:link w:val="3"/>
    <w:unhideWhenUsed/>
    <w:locked/>
    <w:uiPriority w:val="99"/>
    <w:rPr>
      <w:rFonts w:hint="default" w:ascii="Times New Roman"/>
      <w:sz w:val="18"/>
    </w:rPr>
  </w:style>
  <w:style w:type="character" w:customStyle="1" w:styleId="9">
    <w:name w:val="页眉 Char"/>
    <w:basedOn w:val="6"/>
    <w:link w:val="4"/>
    <w:unhideWhenUsed/>
    <w:locked/>
    <w:uiPriority w:val="99"/>
    <w:rPr>
      <w:rFonts w:hint="default" w:ascii="Times New Roman"/>
      <w:sz w:val="18"/>
    </w:rPr>
  </w:style>
  <w:style w:type="character" w:customStyle="1" w:styleId="10">
    <w:name w:val="页眉 Char1"/>
    <w:basedOn w:val="6"/>
    <w:unhideWhenUsed/>
    <w:uiPriority w:val="99"/>
    <w:rPr>
      <w:rFonts w:hint="default" w:ascii="Calibri"/>
      <w:sz w:val="18"/>
    </w:rPr>
  </w:style>
  <w:style w:type="character" w:customStyle="1" w:styleId="11">
    <w:name w:val="页眉 Char113"/>
    <w:basedOn w:val="6"/>
    <w:unhideWhenUsed/>
    <w:uiPriority w:val="99"/>
    <w:rPr>
      <w:rFonts w:hint="default" w:ascii="Calibri"/>
      <w:sz w:val="18"/>
    </w:rPr>
  </w:style>
  <w:style w:type="character" w:customStyle="1" w:styleId="12">
    <w:name w:val="页眉 Char112"/>
    <w:basedOn w:val="6"/>
    <w:unhideWhenUsed/>
    <w:uiPriority w:val="99"/>
    <w:rPr>
      <w:rFonts w:hint="default" w:ascii="Calibri"/>
      <w:sz w:val="18"/>
    </w:rPr>
  </w:style>
  <w:style w:type="character" w:customStyle="1" w:styleId="13">
    <w:name w:val="页眉 Char111"/>
    <w:basedOn w:val="6"/>
    <w:unhideWhenUsed/>
    <w:uiPriority w:val="99"/>
    <w:rPr>
      <w:rFonts w:hint="default" w:ascii="Calibri"/>
      <w:sz w:val="18"/>
    </w:rPr>
  </w:style>
  <w:style w:type="character" w:customStyle="1" w:styleId="14">
    <w:name w:val="页眉 Char110"/>
    <w:basedOn w:val="6"/>
    <w:unhideWhenUsed/>
    <w:uiPriority w:val="99"/>
    <w:rPr>
      <w:rFonts w:hint="default" w:ascii="Calibri"/>
      <w:sz w:val="18"/>
    </w:rPr>
  </w:style>
  <w:style w:type="character" w:customStyle="1" w:styleId="15">
    <w:name w:val="页眉 Char19"/>
    <w:basedOn w:val="6"/>
    <w:unhideWhenUsed/>
    <w:uiPriority w:val="99"/>
    <w:rPr>
      <w:rFonts w:hint="default" w:ascii="Calibri"/>
      <w:sz w:val="18"/>
    </w:rPr>
  </w:style>
  <w:style w:type="character" w:customStyle="1" w:styleId="16">
    <w:name w:val="页眉 Char18"/>
    <w:basedOn w:val="6"/>
    <w:unhideWhenUsed/>
    <w:uiPriority w:val="99"/>
    <w:rPr>
      <w:rFonts w:hint="default" w:ascii="Calibri"/>
      <w:sz w:val="18"/>
    </w:rPr>
  </w:style>
  <w:style w:type="character" w:customStyle="1" w:styleId="17">
    <w:name w:val="页眉 Char17"/>
    <w:basedOn w:val="6"/>
    <w:unhideWhenUsed/>
    <w:uiPriority w:val="99"/>
    <w:rPr>
      <w:rFonts w:hint="default" w:ascii="Calibri"/>
      <w:sz w:val="18"/>
    </w:rPr>
  </w:style>
  <w:style w:type="character" w:customStyle="1" w:styleId="18">
    <w:name w:val="页眉 Char16"/>
    <w:basedOn w:val="6"/>
    <w:unhideWhenUsed/>
    <w:uiPriority w:val="99"/>
    <w:rPr>
      <w:rFonts w:hint="default" w:ascii="Calibri"/>
      <w:sz w:val="18"/>
    </w:rPr>
  </w:style>
  <w:style w:type="character" w:customStyle="1" w:styleId="19">
    <w:name w:val="页眉 Char15"/>
    <w:basedOn w:val="6"/>
    <w:unhideWhenUsed/>
    <w:uiPriority w:val="99"/>
    <w:rPr>
      <w:rFonts w:hint="default" w:ascii="Calibri"/>
      <w:sz w:val="18"/>
    </w:rPr>
  </w:style>
  <w:style w:type="character" w:customStyle="1" w:styleId="20">
    <w:name w:val="页眉 Char14"/>
    <w:basedOn w:val="6"/>
    <w:unhideWhenUsed/>
    <w:uiPriority w:val="99"/>
    <w:rPr>
      <w:rFonts w:hint="default" w:ascii="Calibri"/>
      <w:sz w:val="18"/>
    </w:rPr>
  </w:style>
  <w:style w:type="character" w:customStyle="1" w:styleId="21">
    <w:name w:val="页眉 Char13"/>
    <w:basedOn w:val="6"/>
    <w:unhideWhenUsed/>
    <w:uiPriority w:val="99"/>
    <w:rPr>
      <w:rFonts w:hint="default" w:ascii="Calibri"/>
      <w:sz w:val="18"/>
    </w:rPr>
  </w:style>
  <w:style w:type="character" w:customStyle="1" w:styleId="22">
    <w:name w:val="页眉 Char12"/>
    <w:basedOn w:val="6"/>
    <w:unhideWhenUsed/>
    <w:uiPriority w:val="99"/>
    <w:rPr>
      <w:rFonts w:hint="default" w:ascii="Calibri"/>
      <w:sz w:val="18"/>
    </w:rPr>
  </w:style>
  <w:style w:type="character" w:customStyle="1" w:styleId="23">
    <w:name w:val="页眉 Char11"/>
    <w:basedOn w:val="6"/>
    <w:unhideWhenUsed/>
    <w:uiPriority w:val="99"/>
    <w:rPr>
      <w:rFonts w:hint="default" w:ascii="Calibri"/>
      <w:sz w:val="18"/>
    </w:rPr>
  </w:style>
  <w:style w:type="character" w:customStyle="1" w:styleId="24">
    <w:name w:val="页脚 Char1"/>
    <w:basedOn w:val="6"/>
    <w:unhideWhenUsed/>
    <w:uiPriority w:val="99"/>
    <w:rPr>
      <w:rFonts w:hint="default" w:ascii="Calibri"/>
      <w:sz w:val="18"/>
    </w:rPr>
  </w:style>
  <w:style w:type="character" w:customStyle="1" w:styleId="25">
    <w:name w:val="页脚 Char113"/>
    <w:basedOn w:val="6"/>
    <w:unhideWhenUsed/>
    <w:uiPriority w:val="99"/>
    <w:rPr>
      <w:rFonts w:hint="default" w:ascii="Calibri"/>
      <w:sz w:val="18"/>
    </w:rPr>
  </w:style>
  <w:style w:type="character" w:customStyle="1" w:styleId="26">
    <w:name w:val="页脚 Char112"/>
    <w:basedOn w:val="6"/>
    <w:unhideWhenUsed/>
    <w:uiPriority w:val="99"/>
    <w:rPr>
      <w:rFonts w:hint="default" w:ascii="Calibri"/>
      <w:sz w:val="18"/>
    </w:rPr>
  </w:style>
  <w:style w:type="character" w:customStyle="1" w:styleId="27">
    <w:name w:val="页脚 Char111"/>
    <w:basedOn w:val="6"/>
    <w:unhideWhenUsed/>
    <w:uiPriority w:val="99"/>
    <w:rPr>
      <w:rFonts w:hint="default" w:ascii="Calibri"/>
      <w:sz w:val="18"/>
    </w:rPr>
  </w:style>
  <w:style w:type="character" w:customStyle="1" w:styleId="28">
    <w:name w:val="页脚 Char110"/>
    <w:basedOn w:val="6"/>
    <w:unhideWhenUsed/>
    <w:uiPriority w:val="99"/>
    <w:rPr>
      <w:rFonts w:hint="default" w:ascii="Calibri"/>
      <w:sz w:val="18"/>
    </w:rPr>
  </w:style>
  <w:style w:type="character" w:customStyle="1" w:styleId="29">
    <w:name w:val="页脚 Char19"/>
    <w:basedOn w:val="6"/>
    <w:unhideWhenUsed/>
    <w:uiPriority w:val="99"/>
    <w:rPr>
      <w:rFonts w:hint="default" w:ascii="Calibri"/>
      <w:sz w:val="18"/>
    </w:rPr>
  </w:style>
  <w:style w:type="character" w:customStyle="1" w:styleId="30">
    <w:name w:val="页脚 Char18"/>
    <w:basedOn w:val="6"/>
    <w:unhideWhenUsed/>
    <w:uiPriority w:val="99"/>
    <w:rPr>
      <w:rFonts w:hint="default" w:ascii="Calibri"/>
      <w:sz w:val="18"/>
    </w:rPr>
  </w:style>
  <w:style w:type="character" w:customStyle="1" w:styleId="31">
    <w:name w:val="页脚 Char17"/>
    <w:basedOn w:val="6"/>
    <w:unhideWhenUsed/>
    <w:uiPriority w:val="99"/>
    <w:rPr>
      <w:rFonts w:hint="default" w:ascii="Calibri"/>
      <w:sz w:val="18"/>
    </w:rPr>
  </w:style>
  <w:style w:type="character" w:customStyle="1" w:styleId="32">
    <w:name w:val="页脚 Char16"/>
    <w:basedOn w:val="6"/>
    <w:unhideWhenUsed/>
    <w:uiPriority w:val="99"/>
    <w:rPr>
      <w:rFonts w:hint="default" w:ascii="Calibri"/>
      <w:sz w:val="18"/>
    </w:rPr>
  </w:style>
  <w:style w:type="character" w:customStyle="1" w:styleId="33">
    <w:name w:val="页脚 Char15"/>
    <w:basedOn w:val="6"/>
    <w:unhideWhenUsed/>
    <w:uiPriority w:val="99"/>
    <w:rPr>
      <w:rFonts w:hint="default" w:ascii="Calibri"/>
      <w:sz w:val="18"/>
    </w:rPr>
  </w:style>
  <w:style w:type="character" w:customStyle="1" w:styleId="34">
    <w:name w:val="页脚 Char14"/>
    <w:basedOn w:val="6"/>
    <w:unhideWhenUsed/>
    <w:uiPriority w:val="99"/>
    <w:rPr>
      <w:rFonts w:hint="default" w:ascii="Calibri"/>
      <w:sz w:val="18"/>
    </w:rPr>
  </w:style>
  <w:style w:type="character" w:customStyle="1" w:styleId="35">
    <w:name w:val="页脚 Char13"/>
    <w:basedOn w:val="6"/>
    <w:unhideWhenUsed/>
    <w:uiPriority w:val="99"/>
    <w:rPr>
      <w:rFonts w:hint="default" w:ascii="Calibri"/>
      <w:sz w:val="18"/>
    </w:rPr>
  </w:style>
  <w:style w:type="character" w:customStyle="1" w:styleId="36">
    <w:name w:val="页脚 Char12"/>
    <w:basedOn w:val="6"/>
    <w:unhideWhenUsed/>
    <w:uiPriority w:val="99"/>
    <w:rPr>
      <w:rFonts w:hint="default" w:ascii="Calibri"/>
      <w:sz w:val="18"/>
    </w:rPr>
  </w:style>
  <w:style w:type="character" w:customStyle="1" w:styleId="37">
    <w:name w:val="页脚 Char11"/>
    <w:basedOn w:val="6"/>
    <w:unhideWhenUsed/>
    <w:uiPriority w:val="99"/>
    <w:rPr>
      <w:rFonts w:hint="default" w:ascii="Calibri"/>
      <w:sz w:val="18"/>
    </w:rPr>
  </w:style>
  <w:style w:type="character" w:customStyle="1" w:styleId="38">
    <w:name w:val="批注框文本 Char"/>
    <w:basedOn w:val="6"/>
    <w:link w:val="2"/>
    <w:unhideWhenUsed/>
    <w:locked/>
    <w:uiPriority w:val="99"/>
    <w:rPr>
      <w:rFonts w:hint="default" w:ascii="Calibri"/>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2021-09-29T09:10:44Z</dcterms:created>
  <cp:lastModifiedBy>徐啸</cp:lastModifiedBy>
  <dcterms:modified xsi:type="dcterms:W3CDTF">2021-09-29T09:11:43Z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