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24" w:lineRule="auto"/>
        <w:jc w:val="center"/>
        <w:rPr>
          <w:rFonts w:hint="eastAsia" w:ascii="黑体" w:hAnsi="黑体" w:eastAsia="黑体"/>
          <w:b/>
          <w:spacing w:val="15"/>
          <w:sz w:val="44"/>
          <w:highlight w:val="white"/>
        </w:rPr>
      </w:pPr>
      <w:bookmarkStart w:id="0" w:name="_GoBack"/>
      <w:bookmarkEnd w:id="0"/>
      <w:r>
        <w:rPr>
          <w:rFonts w:hint="eastAsia" w:ascii="黑体" w:hAnsi="黑体" w:eastAsia="黑体"/>
          <w:b/>
          <w:spacing w:val="15"/>
          <w:sz w:val="44"/>
          <w:highlight w:val="white"/>
        </w:rPr>
        <w:t>金华市自然资源和规划信息中心</w:t>
      </w:r>
      <w:r>
        <w:rPr>
          <w:rFonts w:hint="eastAsia" w:ascii="黑体" w:hAnsi="黑体" w:eastAsia="黑体"/>
          <w:b/>
          <w:color w:val="000000"/>
          <w:sz w:val="44"/>
          <w:highlight w:val="white"/>
        </w:rPr>
        <w:t>2020年度</w:t>
      </w:r>
    </w:p>
    <w:p>
      <w:pPr>
        <w:spacing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rPr>
        <w:t>单位决算</w:t>
      </w:r>
    </w:p>
    <w:p>
      <w:pPr>
        <w:spacing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rPr>
        <w:t>目录</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一、概况..............................................................</w:t>
      </w:r>
      <w:r>
        <w:rPr>
          <w:rFonts w:hint="eastAsia" w:ascii="等线" w:hAnsi="等线" w:eastAsia="等线"/>
          <w:sz w:val="22"/>
        </w:rPr>
        <w:t>( 1 )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（一）部门（单位）职责................................................</w:t>
      </w:r>
      <w:r>
        <w:rPr>
          <w:rFonts w:hint="eastAsia" w:ascii="等线" w:hAnsi="等线" w:eastAsia="等线"/>
          <w:sz w:val="22"/>
        </w:rPr>
        <w:t>( 1 )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（二）机构设置........................................................</w:t>
      </w:r>
      <w:r>
        <w:rPr>
          <w:rFonts w:hint="eastAsia" w:ascii="等线" w:hAnsi="等线" w:eastAsia="等线"/>
          <w:sz w:val="22"/>
        </w:rPr>
        <w:t>( 1 )</w:t>
      </w:r>
    </w:p>
    <w:p>
      <w:pPr>
        <w:spacing w:line="560" w:lineRule="exact"/>
        <w:jc w:val="left"/>
        <w:rPr>
          <w:rFonts w:hint="eastAsia" w:ascii="等线" w:hAnsi="等线" w:eastAsia="等线"/>
          <w:sz w:val="22"/>
        </w:rPr>
      </w:pPr>
      <w:r>
        <w:rPr>
          <w:rFonts w:hint="eastAsia" w:ascii="等线" w:hAnsi="等线" w:eastAsia="等线"/>
          <w:sz w:val="22"/>
        </w:rPr>
        <w:t>二、</w:t>
      </w:r>
      <w:r>
        <w:rPr>
          <w:rFonts w:hint="eastAsia" w:ascii="等线" w:hAnsi="等线" w:eastAsia="等线"/>
          <w:color w:val="000000"/>
          <w:sz w:val="22"/>
          <w:highlight w:val="white"/>
        </w:rPr>
        <w:t>2020年度部门（单位）决算公开表....................................</w:t>
      </w:r>
      <w:r>
        <w:rPr>
          <w:rFonts w:hint="eastAsia" w:ascii="等线" w:hAnsi="等线" w:eastAsia="等线"/>
          <w:sz w:val="22"/>
        </w:rPr>
        <w:t>( 1 )</w:t>
      </w:r>
    </w:p>
    <w:p>
      <w:pPr>
        <w:spacing w:line="560" w:lineRule="exact"/>
        <w:jc w:val="left"/>
        <w:rPr>
          <w:rFonts w:hint="eastAsia" w:ascii="等线" w:hAnsi="等线" w:eastAsia="等线"/>
          <w:sz w:val="22"/>
        </w:rPr>
      </w:pPr>
      <w:r>
        <w:rPr>
          <w:rFonts w:hint="eastAsia" w:ascii="等线" w:hAnsi="等线" w:eastAsia="等线"/>
          <w:sz w:val="22"/>
          <w:highlight w:val="white"/>
          <w:lang w:val="zh-CN"/>
        </w:rPr>
        <w:t>三、</w:t>
      </w:r>
      <w:r>
        <w:rPr>
          <w:rFonts w:hint="eastAsia" w:ascii="等线" w:hAnsi="等线" w:eastAsia="等线"/>
          <w:color w:val="000000"/>
          <w:sz w:val="22"/>
          <w:highlight w:val="white"/>
        </w:rPr>
        <w:t>2020年度部门（单位）决算情况说明..................................</w:t>
      </w:r>
      <w:r>
        <w:rPr>
          <w:rFonts w:hint="eastAsia" w:ascii="等线" w:hAnsi="等线" w:eastAsia="等线"/>
          <w:sz w:val="22"/>
        </w:rPr>
        <w:t>( 1 )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（一）收入支出决算总体情况说明.........................................</w:t>
      </w:r>
      <w:r>
        <w:rPr>
          <w:rFonts w:hint="eastAsia" w:ascii="等线" w:hAnsi="等线" w:eastAsia="等线"/>
          <w:sz w:val="22"/>
        </w:rPr>
        <w:t>( 2 )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（二）收入决算情况说明.................................................</w:t>
      </w:r>
      <w:r>
        <w:rPr>
          <w:rFonts w:hint="eastAsia" w:ascii="等线" w:hAnsi="等线" w:eastAsia="等线"/>
          <w:sz w:val="22"/>
        </w:rPr>
        <w:t>( 2 )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（三）支出决算情况说明.................................................</w:t>
      </w:r>
      <w:r>
        <w:rPr>
          <w:rFonts w:hint="eastAsia" w:ascii="等线" w:hAnsi="等线" w:eastAsia="等线"/>
          <w:sz w:val="22"/>
        </w:rPr>
        <w:t>( 2 )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（四）财政拨款收入支出决算总体情况说明.................................</w:t>
      </w:r>
      <w:r>
        <w:rPr>
          <w:rFonts w:hint="eastAsia" w:ascii="等线" w:hAnsi="等线" w:eastAsia="等线"/>
          <w:sz w:val="22"/>
        </w:rPr>
        <w:t>( 2 )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（五）一般公共预算财政拨款支出决算情况说明.............................</w:t>
      </w:r>
      <w:r>
        <w:rPr>
          <w:rFonts w:hint="eastAsia" w:ascii="等线" w:hAnsi="等线" w:eastAsia="等线"/>
          <w:sz w:val="22"/>
        </w:rPr>
        <w:t>( 2 )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（六）一般公共预算财政拨款基本支出决算情况说明.........................</w:t>
      </w:r>
      <w:r>
        <w:rPr>
          <w:rFonts w:hint="eastAsia" w:ascii="等线" w:hAnsi="等线" w:eastAsia="等线"/>
          <w:sz w:val="22"/>
        </w:rPr>
        <w:t>( 5)</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（七）政府性基金预算财政拨款支出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( 6 )</w:t>
      </w:r>
    </w:p>
    <w:p>
      <w:pPr>
        <w:spacing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（八）国有资本经营预算财政拨款支出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( 7 )</w:t>
      </w:r>
    </w:p>
    <w:p>
      <w:pPr>
        <w:spacing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（九）一般公共预算财政拨款“三公”经费支出决算情况说明.................</w:t>
      </w:r>
      <w:r>
        <w:rPr>
          <w:rFonts w:hint="eastAsia" w:ascii="等线" w:hAnsi="等线" w:eastAsia="等线"/>
          <w:sz w:val="22"/>
        </w:rPr>
        <w:t>( 7 )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（十）机关运行经费支出说明.............................................</w:t>
      </w:r>
      <w:r>
        <w:rPr>
          <w:rFonts w:hint="eastAsia" w:ascii="等线" w:hAnsi="等线" w:eastAsia="等线"/>
          <w:sz w:val="22"/>
        </w:rPr>
        <w:t>( 8 )</w:t>
      </w:r>
    </w:p>
    <w:p>
      <w:pPr>
        <w:spacing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（十一）政府采购支出说明...............................................</w:t>
      </w:r>
      <w:r>
        <w:rPr>
          <w:rFonts w:hint="eastAsia" w:ascii="等线" w:hAnsi="等线" w:eastAsia="等线"/>
          <w:sz w:val="22"/>
        </w:rPr>
        <w:t>( 9 )</w:t>
      </w:r>
    </w:p>
    <w:p>
      <w:pPr>
        <w:spacing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（十二）国有资产占有情况说明...........................................</w:t>
      </w:r>
      <w:r>
        <w:rPr>
          <w:rFonts w:hint="eastAsia" w:ascii="等线" w:hAnsi="等线" w:eastAsia="等线"/>
          <w:sz w:val="22"/>
        </w:rPr>
        <w:t>( 9 )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（十三）预算绩效情况说明...............................................</w:t>
      </w:r>
      <w:r>
        <w:rPr>
          <w:rFonts w:hint="eastAsia" w:ascii="等线" w:hAnsi="等线" w:eastAsia="等线"/>
          <w:sz w:val="22"/>
        </w:rPr>
        <w:t>( 9 )</w:t>
      </w:r>
    </w:p>
    <w:p>
      <w:pPr>
        <w:spacing w:line="560" w:lineRule="exact"/>
        <w:jc w:val="left"/>
        <w:rPr>
          <w:rFonts w:hint="eastAsia" w:ascii="等线" w:hAnsi="等线" w:eastAsia="等线"/>
          <w:sz w:val="22"/>
        </w:rPr>
      </w:pPr>
      <w:r>
        <w:rPr>
          <w:rFonts w:hint="eastAsia" w:ascii="等线" w:hAnsi="等线" w:eastAsia="等线"/>
          <w:color w:val="000000"/>
          <w:sz w:val="22"/>
          <w:highlight w:val="white"/>
        </w:rPr>
        <w:t>四、名词解释...........................................................</w:t>
      </w:r>
      <w:r>
        <w:rPr>
          <w:rFonts w:hint="eastAsia" w:ascii="等线" w:hAnsi="等线" w:eastAsia="等线"/>
          <w:sz w:val="22"/>
        </w:rPr>
        <w:t>(17 )</w:t>
      </w:r>
    </w:p>
    <w:p>
      <w:pPr>
        <w:spacing w:line="324" w:lineRule="auto"/>
        <w:rPr>
          <w:rFonts w:hint="eastAsia" w:ascii="黑体" w:hAnsi="黑体" w:eastAsia="黑体"/>
          <w:b/>
          <w:color w:val="000000"/>
          <w:sz w:val="32"/>
          <w:highlight w:val="white"/>
        </w:rPr>
      </w:pPr>
      <w:r>
        <w:rPr>
          <w:rFonts w:hint="eastAsia" w:ascii="黑体" w:hAnsi="黑体" w:eastAsia="黑体"/>
          <w:b/>
          <w:color w:val="000000"/>
          <w:sz w:val="32"/>
          <w:highlight w:val="white"/>
        </w:rPr>
        <w:t>一、概况</w:t>
      </w:r>
    </w:p>
    <w:p>
      <w:p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（一）单位职责</w:t>
      </w:r>
    </w:p>
    <w:p>
      <w:pPr>
        <w:spacing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1、承担自然资源和规划管理数字化转型的技术工作。</w:t>
      </w:r>
    </w:p>
    <w:p>
      <w:pPr>
        <w:spacing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2、负责编制自然资源信息化发展规划、年度计划，制定自然资源信息技术标准和工作规范，指导县（市、区）自然资源信息化工作。</w:t>
      </w:r>
    </w:p>
    <w:p>
      <w:pPr>
        <w:spacing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3、承担自然资源信息化建设与应用工作，负责市自然资源和规划电子政务系统、网络基础设施和公共数据资源库的建设、运行和维护等工作。</w:t>
      </w:r>
    </w:p>
    <w:p>
      <w:pPr>
        <w:spacing w:line="324" w:lineRule="auto"/>
        <w:ind w:firstLine="594"/>
        <w:rPr>
          <w:rFonts w:hint="eastAsia" w:ascii="仿宋" w:hAnsi="仿宋" w:eastAsia="仿宋"/>
          <w:sz w:val="32"/>
          <w:highlight w:val="white"/>
          <w:lang w:val="zh-CN"/>
        </w:rPr>
      </w:pPr>
      <w:r>
        <w:rPr>
          <w:rFonts w:hint="eastAsia" w:ascii="仿宋" w:hAnsi="仿宋" w:eastAsia="仿宋"/>
          <w:color w:val="000000"/>
          <w:sz w:val="32"/>
          <w:highlight w:val="white"/>
          <w:lang w:val="zh-CN"/>
        </w:rPr>
        <w:t>4、完成金华市自然资源和规划局交办的其他任务。</w:t>
      </w:r>
    </w:p>
    <w:p>
      <w:p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（二）机构设置</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从预算单位构成看，</w:t>
      </w:r>
      <w:r>
        <w:rPr>
          <w:rFonts w:hint="eastAsia" w:ascii="仿宋" w:hAnsi="仿宋" w:eastAsia="仿宋"/>
          <w:sz w:val="32"/>
          <w:highlight w:val="white"/>
          <w:lang w:val="zh-CN"/>
        </w:rPr>
        <w:t>金华市自然资源和规划信息中心</w:t>
      </w:r>
      <w:r>
        <w:rPr>
          <w:rFonts w:hint="eastAsia" w:ascii="仿宋" w:hAnsi="仿宋" w:eastAsia="仿宋"/>
          <w:color w:val="000000"/>
          <w:sz w:val="32"/>
          <w:highlight w:val="white"/>
        </w:rPr>
        <w:t>部门决算包括：局属事业单位决算。</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纳入</w:t>
      </w:r>
      <w:r>
        <w:rPr>
          <w:rFonts w:hint="eastAsia" w:ascii="仿宋" w:hAnsi="仿宋" w:eastAsia="仿宋"/>
          <w:sz w:val="32"/>
          <w:highlight w:val="white"/>
          <w:lang w:val="zh-CN"/>
        </w:rPr>
        <w:t>金华市自然资源和规划信息中心</w:t>
      </w:r>
      <w:r>
        <w:rPr>
          <w:rFonts w:hint="eastAsia" w:ascii="仿宋" w:hAnsi="仿宋" w:eastAsia="仿宋"/>
          <w:color w:val="000000"/>
          <w:sz w:val="32"/>
          <w:highlight w:val="white"/>
        </w:rPr>
        <w:t>2020年度部门决算编制范围的二级预算单位。</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highlight w:val="white"/>
        </w:rPr>
        <w:t>机构情况：本单位内设：综合科、网络科。</w:t>
      </w:r>
    </w:p>
    <w:p>
      <w:pPr>
        <w:spacing w:line="324" w:lineRule="auto"/>
        <w:ind w:firstLine="600"/>
        <w:rPr>
          <w:rFonts w:hint="eastAsia" w:ascii="黑体" w:hAnsi="黑体" w:eastAsia="黑体"/>
          <w:b/>
          <w:color w:val="000000"/>
          <w:sz w:val="32"/>
          <w:highlight w:val="white"/>
        </w:rPr>
      </w:pPr>
      <w:r>
        <w:rPr>
          <w:rFonts w:hint="eastAsia" w:ascii="黑体" w:hAnsi="黑体" w:eastAsia="黑体"/>
          <w:b/>
          <w:color w:val="000000"/>
          <w:sz w:val="32"/>
          <w:highlight w:val="white"/>
        </w:rPr>
        <w:t>二、2020年度部门（单位）决算公开表</w:t>
      </w:r>
    </w:p>
    <w:p>
      <w:pPr>
        <w:spacing w:line="324" w:lineRule="auto"/>
        <w:ind w:firstLine="594"/>
        <w:rPr>
          <w:rFonts w:hint="default" w:eastAsia="Times New Roman"/>
          <w:color w:val="000000"/>
          <w:sz w:val="32"/>
          <w:highlight w:val="white"/>
        </w:rPr>
      </w:pPr>
      <w:r>
        <w:rPr>
          <w:rFonts w:hint="eastAsia" w:ascii="仿宋" w:hAnsi="仿宋" w:eastAsia="仿宋"/>
          <w:color w:val="000000"/>
          <w:sz w:val="32"/>
          <w:highlight w:val="white"/>
        </w:rPr>
        <w:t>详见附表</w:t>
      </w:r>
      <w:r>
        <w:rPr>
          <w:rFonts w:hint="eastAsia" w:ascii="仿宋_GB2312" w:hAnsi="仿宋_GB2312" w:eastAsia="仿宋_GB2312"/>
          <w:color w:val="000000"/>
          <w:sz w:val="32"/>
          <w:highlight w:val="white"/>
        </w:rPr>
        <w:t>。</w:t>
      </w:r>
    </w:p>
    <w:p>
      <w:pPr>
        <w:spacing w:line="324" w:lineRule="auto"/>
        <w:ind w:firstLine="594"/>
        <w:rPr>
          <w:rFonts w:hint="default" w:eastAsia="Times New Roman"/>
          <w:b/>
          <w:color w:val="000000"/>
          <w:sz w:val="32"/>
          <w:highlight w:val="white"/>
        </w:rPr>
      </w:pPr>
      <w:r>
        <w:rPr>
          <w:rFonts w:hint="eastAsia" w:ascii="黑体" w:hAnsi="黑体" w:eastAsia="黑体"/>
          <w:b/>
          <w:sz w:val="32"/>
          <w:highlight w:val="white"/>
          <w:lang w:val="zh-CN"/>
        </w:rPr>
        <w:t>三、</w:t>
      </w:r>
      <w:r>
        <w:rPr>
          <w:rFonts w:hint="eastAsia" w:ascii="黑体" w:hAnsi="黑体" w:eastAsia="黑体"/>
          <w:b/>
          <w:color w:val="000000"/>
          <w:sz w:val="32"/>
          <w:highlight w:val="white"/>
        </w:rPr>
        <w:t>2020年度部门（单位）决算情况说明</w:t>
      </w:r>
    </w:p>
    <w:p>
      <w:pPr>
        <w:spacing w:line="324" w:lineRule="auto"/>
        <w:ind w:firstLine="594"/>
        <w:rPr>
          <w:rFonts w:hint="default" w:eastAsia="Times New Roman"/>
          <w:b/>
          <w:color w:val="000000"/>
          <w:sz w:val="32"/>
          <w:highlight w:val="white"/>
        </w:rPr>
      </w:pPr>
      <w:r>
        <w:rPr>
          <w:rFonts w:hint="eastAsia" w:ascii="楷体" w:hAnsi="楷体" w:eastAsia="楷体"/>
          <w:b/>
          <w:color w:val="000000"/>
          <w:sz w:val="32"/>
          <w:highlight w:val="white"/>
        </w:rPr>
        <w:t>（一）收入支出决算总体情况说明</w:t>
      </w:r>
    </w:p>
    <w:p>
      <w:pPr>
        <w:spacing w:line="324" w:lineRule="auto"/>
        <w:ind w:firstLine="594"/>
        <w:rPr>
          <w:rFonts w:hint="default" w:eastAsia="Times New Roman"/>
          <w:b/>
          <w:color w:val="000000"/>
          <w:sz w:val="32"/>
          <w:highlight w:val="white"/>
        </w:rPr>
      </w:pPr>
      <w:r>
        <w:rPr>
          <w:rFonts w:hint="eastAsia" w:ascii="仿宋" w:hAnsi="仿宋" w:eastAsia="仿宋"/>
          <w:color w:val="000000"/>
          <w:sz w:val="32"/>
          <w:highlight w:val="white"/>
        </w:rPr>
        <w:t>2020年度收入总计260.1万元，支出总计260.1万元,与2019年度相比，各减少11.46万元，下降4.22%。主要原因是厉行节约、压缩支出。</w:t>
      </w:r>
    </w:p>
    <w:p>
      <w:pPr>
        <w:spacing w:line="324" w:lineRule="auto"/>
        <w:ind w:firstLine="594"/>
        <w:rPr>
          <w:rFonts w:hint="default" w:eastAsia="Times New Roman"/>
          <w:b/>
          <w:color w:val="000000"/>
          <w:sz w:val="32"/>
          <w:highlight w:val="white"/>
        </w:rPr>
      </w:pPr>
      <w:r>
        <w:rPr>
          <w:rFonts w:hint="eastAsia" w:ascii="楷体" w:hAnsi="楷体" w:eastAsia="楷体"/>
          <w:b/>
          <w:color w:val="000000"/>
          <w:sz w:val="32"/>
          <w:highlight w:val="white"/>
        </w:rPr>
        <w:t>（二）收入决算情况说明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本年收入合计260.1万元；包括财政拨款收入260.1万元（其中，一般公共预算249.02万元，政府性基金预算11.09万元,国有资本经营预算0万元），占收入合计100%；上级补助收入0万元，占收入合计0%；事业收入0万元，占收入合计0%；经营收入0万元，占收入合计0%；附属单位上缴收入0万元，占收入合计0%；其他收入0万元，占收入合计0%。</w:t>
      </w:r>
    </w:p>
    <w:p>
      <w:pPr>
        <w:spacing w:line="324" w:lineRule="auto"/>
        <w:ind w:firstLine="594"/>
        <w:rPr>
          <w:rFonts w:hint="default" w:eastAsia="Times New Roman"/>
          <w:b/>
          <w:color w:val="000000"/>
          <w:sz w:val="32"/>
          <w:highlight w:val="white"/>
        </w:rPr>
      </w:pPr>
      <w:r>
        <w:rPr>
          <w:rFonts w:hint="eastAsia" w:ascii="楷体" w:hAnsi="楷体" w:eastAsia="楷体"/>
          <w:b/>
          <w:color w:val="000000"/>
          <w:sz w:val="32"/>
          <w:highlight w:val="white"/>
        </w:rPr>
        <w:t>（三）支出决算情况说明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本年支出合计260.1万元，其中基本支出249.02万元，占95.74%；项目支出11.09万元，占4.26%；上缴上级支出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万元，占0%；经营支出0万元，占0%；对附属单位补助支出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w:t>
      </w:r>
    </w:p>
    <w:p>
      <w:p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（四）财政拨款收入支出决算总体情况说明</w:t>
      </w:r>
    </w:p>
    <w:p>
      <w:pPr>
        <w:spacing w:line="324" w:lineRule="auto"/>
        <w:ind w:firstLine="594"/>
        <w:rPr>
          <w:rFonts w:hint="eastAsia" w:ascii="仿宋" w:hAnsi="仿宋" w:eastAsia="仿宋"/>
          <w:b/>
          <w:color w:val="000000"/>
          <w:sz w:val="32"/>
          <w:highlight w:val="white"/>
        </w:rPr>
      </w:pPr>
      <w:r>
        <w:rPr>
          <w:rFonts w:hint="eastAsia" w:ascii="仿宋" w:hAnsi="仿宋" w:eastAsia="仿宋"/>
          <w:color w:val="000000"/>
          <w:sz w:val="32"/>
          <w:highlight w:val="white"/>
        </w:rPr>
        <w:t>2020年度财政拨款收入总计260.1万元，支出总计260.1万元，与2019年相比，各减少9.12万元，下降3.38%。主要原因是压缩支出</w:t>
      </w:r>
      <w:r>
        <w:rPr>
          <w:rFonts w:hint="eastAsia" w:ascii="仿宋" w:hAnsi="仿宋" w:eastAsia="仿宋"/>
          <w:sz w:val="32"/>
          <w:highlight w:val="white"/>
        </w:rPr>
        <w:t>；</w:t>
      </w:r>
      <w:r>
        <w:rPr>
          <w:rFonts w:hint="eastAsia" w:ascii="仿宋" w:hAnsi="仿宋" w:eastAsia="仿宋"/>
          <w:color w:val="000000"/>
          <w:sz w:val="32"/>
          <w:highlight w:val="white"/>
        </w:rPr>
        <w:t>财政拨款支出年初预算数239.74万元，</w:t>
      </w:r>
      <w:r>
        <w:rPr>
          <w:rFonts w:hint="eastAsia" w:ascii="仿宋" w:hAnsi="仿宋" w:eastAsia="仿宋"/>
          <w:sz w:val="32"/>
          <w:highlight w:val="white"/>
        </w:rPr>
        <w:t>完成年初预算的</w:t>
      </w:r>
      <w:r>
        <w:rPr>
          <w:rFonts w:hint="eastAsia" w:ascii="仿宋" w:hAnsi="仿宋" w:eastAsia="仿宋"/>
          <w:color w:val="000000"/>
          <w:sz w:val="32"/>
          <w:highlight w:val="white"/>
        </w:rPr>
        <w:t>1.09%</w:t>
      </w:r>
      <w:r>
        <w:rPr>
          <w:rFonts w:hint="eastAsia" w:ascii="仿宋" w:hAnsi="仿宋" w:eastAsia="仿宋"/>
          <w:sz w:val="32"/>
          <w:highlight w:val="white"/>
        </w:rPr>
        <w:t>，</w:t>
      </w:r>
      <w:r>
        <w:rPr>
          <w:rFonts w:hint="eastAsia" w:ascii="仿宋" w:hAnsi="仿宋" w:eastAsia="仿宋"/>
          <w:color w:val="000000"/>
          <w:sz w:val="32"/>
          <w:highlight w:val="white"/>
        </w:rPr>
        <w:t>主要原因是</w:t>
      </w:r>
      <w:r>
        <w:rPr>
          <w:rFonts w:hint="eastAsia" w:ascii="仿宋" w:hAnsi="仿宋" w:eastAsia="仿宋"/>
          <w:sz w:val="32"/>
          <w:highlight w:val="white"/>
        </w:rPr>
        <w:t>追加了奖金、公积金。</w:t>
      </w:r>
    </w:p>
    <w:p>
      <w:pPr>
        <w:spacing w:line="324" w:lineRule="auto"/>
        <w:ind w:firstLine="594"/>
        <w:rPr>
          <w:rFonts w:hint="default" w:eastAsia="Times New Roman"/>
          <w:b/>
          <w:color w:val="000000"/>
          <w:sz w:val="32"/>
          <w:highlight w:val="white"/>
        </w:rPr>
      </w:pPr>
      <w:r>
        <w:rPr>
          <w:rFonts w:hint="eastAsia" w:ascii="楷体" w:hAnsi="楷体" w:eastAsia="楷体"/>
          <w:b/>
          <w:color w:val="000000"/>
          <w:sz w:val="32"/>
          <w:highlight w:val="white"/>
        </w:rPr>
        <w:t>（五）一般公共预算财政拨款支出决算情况说明</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1.一般公共预算财政拨款支出决算总体情况。</w:t>
      </w:r>
    </w:p>
    <w:p>
      <w:pPr>
        <w:spacing w:line="324" w:lineRule="auto"/>
        <w:ind w:firstLine="606"/>
        <w:rPr>
          <w:rFonts w:hint="eastAsia" w:ascii="仿宋" w:hAnsi="仿宋" w:eastAsia="仿宋"/>
          <w:color w:val="000000"/>
          <w:sz w:val="32"/>
          <w:highlight w:val="white"/>
        </w:rPr>
      </w:pPr>
      <w:r>
        <w:rPr>
          <w:rFonts w:hint="eastAsia" w:ascii="仿宋" w:hAnsi="仿宋" w:eastAsia="仿宋"/>
          <w:color w:val="000000"/>
          <w:sz w:val="32"/>
          <w:highlight w:val="white"/>
        </w:rPr>
        <w:t>2020年度一般公共预算财政拨款支出249.02万元，占本年支出合计的95.74%。与2019年相比，一般公共预算财政拨款支出减少5.69万元，下降2.23%。主要原因是压缩支出。</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2.一般公共预算财政拨款支出决算结构情况。</w:t>
      </w:r>
    </w:p>
    <w:p>
      <w:pPr>
        <w:spacing w:line="324" w:lineRule="auto"/>
        <w:ind w:firstLine="606"/>
        <w:rPr>
          <w:rFonts w:hint="eastAsia" w:ascii="仿宋" w:hAnsi="仿宋" w:eastAsia="仿宋"/>
          <w:b/>
          <w:color w:val="000000"/>
          <w:sz w:val="32"/>
          <w:highlight w:val="white"/>
        </w:rPr>
      </w:pPr>
      <w:r>
        <w:rPr>
          <w:rFonts w:hint="eastAsia" w:ascii="仿宋" w:hAnsi="仿宋" w:eastAsia="仿宋"/>
          <w:color w:val="000000"/>
          <w:sz w:val="32"/>
          <w:highlight w:val="white"/>
        </w:rPr>
        <w:t>2020年度一般公共预算财政拨款支出249.02万元，主要用于以下方面：一般公共服务（类）支出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万元，占0%；国防（类）支出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万元,占0%；公共安全（类）支出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万元,占0%；教育（类）支出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万元,占0%；科学技术（类）支出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万元,占0%；文化旅游体育与传媒（类）支出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万元,占0%；社会保障和就业（类）支出</w:t>
      </w:r>
      <w:r>
        <w:rPr>
          <w:rFonts w:hint="eastAsia" w:ascii="仿宋" w:hAnsi="仿宋" w:eastAsia="仿宋"/>
          <w:sz w:val="32"/>
          <w:highlight w:val="white"/>
          <w:lang w:val="zh-CN"/>
        </w:rPr>
        <w:t>22.93</w:t>
      </w:r>
      <w:r>
        <w:rPr>
          <w:rFonts w:hint="eastAsia" w:ascii="仿宋" w:hAnsi="仿宋" w:eastAsia="仿宋"/>
          <w:color w:val="000000"/>
          <w:sz w:val="32"/>
          <w:highlight w:val="white"/>
        </w:rPr>
        <w:t>万元,占9.21%；卫生健康（类）支出</w:t>
      </w:r>
      <w:r>
        <w:rPr>
          <w:rFonts w:hint="eastAsia" w:ascii="仿宋" w:hAnsi="仿宋" w:eastAsia="仿宋"/>
          <w:sz w:val="32"/>
          <w:highlight w:val="white"/>
          <w:lang w:val="zh-CN"/>
        </w:rPr>
        <w:t>9.26</w:t>
      </w:r>
      <w:r>
        <w:rPr>
          <w:rFonts w:hint="eastAsia" w:ascii="仿宋" w:hAnsi="仿宋" w:eastAsia="仿宋"/>
          <w:color w:val="000000"/>
          <w:sz w:val="32"/>
          <w:highlight w:val="white"/>
        </w:rPr>
        <w:t>万元,占3.72%；节能环保（类）支出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万元,占0%；城乡社区（类）支出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万元,占0%；农林水（类）支出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万元,占0%；交通运输（类）支出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万元,占0%；资源勘探工业信息等（类）支出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万元,占0%；商业服务业等（类）支出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万元,占0%；金融（类）支出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万元,占0%；援助其他地区（类）支出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万元,占0%；自然资源海洋气象等（类）支出</w:t>
      </w:r>
      <w:r>
        <w:rPr>
          <w:rFonts w:hint="eastAsia" w:ascii="仿宋" w:hAnsi="仿宋" w:eastAsia="仿宋"/>
          <w:sz w:val="32"/>
          <w:highlight w:val="white"/>
          <w:lang w:val="zh-CN"/>
        </w:rPr>
        <w:t>190.41</w:t>
      </w:r>
      <w:r>
        <w:rPr>
          <w:rFonts w:hint="eastAsia" w:ascii="仿宋" w:hAnsi="仿宋" w:eastAsia="仿宋"/>
          <w:color w:val="000000"/>
          <w:sz w:val="32"/>
          <w:highlight w:val="white"/>
        </w:rPr>
        <w:t>万元,占76.47%；住房保障（类）支出</w:t>
      </w:r>
      <w:r>
        <w:rPr>
          <w:rFonts w:hint="eastAsia" w:ascii="仿宋" w:hAnsi="仿宋" w:eastAsia="仿宋"/>
          <w:sz w:val="32"/>
          <w:highlight w:val="white"/>
          <w:lang w:val="zh-CN"/>
        </w:rPr>
        <w:t>26.41</w:t>
      </w:r>
      <w:r>
        <w:rPr>
          <w:rFonts w:hint="eastAsia" w:ascii="仿宋" w:hAnsi="仿宋" w:eastAsia="仿宋"/>
          <w:color w:val="000000"/>
          <w:sz w:val="32"/>
          <w:highlight w:val="white"/>
        </w:rPr>
        <w:t>万元,占10.61%；粮油物资储备（类）支出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万元,占0%；灾害防治及应急管理（类）支出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万元,占0%；其他（类）支出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万元,占0%；债务还本（类）支出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万元,占0%；债务付息（类）支出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3.一般公共预算财政拨款支出决算具体情况。</w:t>
      </w:r>
    </w:p>
    <w:p>
      <w:pPr>
        <w:spacing w:line="324" w:lineRule="auto"/>
        <w:ind w:firstLine="594"/>
        <w:rPr>
          <w:rFonts w:hint="eastAsia" w:ascii="仿宋" w:hAnsi="仿宋" w:eastAsia="仿宋"/>
          <w:color w:val="000000"/>
          <w:sz w:val="32"/>
          <w:highlight w:val="white"/>
        </w:rPr>
      </w:pPr>
      <w:r>
        <w:rPr>
          <w:rFonts w:hint="eastAsia" w:ascii="仿宋" w:hAnsi="仿宋" w:eastAsia="仿宋"/>
          <w:sz w:val="32"/>
          <w:highlight w:val="white"/>
        </w:rPr>
        <w:t>2020年度</w:t>
      </w:r>
      <w:r>
        <w:rPr>
          <w:rFonts w:hint="eastAsia" w:ascii="仿宋" w:hAnsi="仿宋" w:eastAsia="仿宋"/>
          <w:color w:val="000000"/>
          <w:sz w:val="32"/>
          <w:highlight w:val="white"/>
        </w:rPr>
        <w:t>一般公共预算</w:t>
      </w:r>
      <w:r>
        <w:rPr>
          <w:rFonts w:hint="eastAsia" w:ascii="仿宋" w:hAnsi="仿宋" w:eastAsia="仿宋"/>
          <w:sz w:val="32"/>
          <w:highlight w:val="white"/>
        </w:rPr>
        <w:t>财政拨款支出年初预算为</w:t>
      </w:r>
      <w:r>
        <w:rPr>
          <w:rFonts w:hint="eastAsia" w:ascii="仿宋" w:hAnsi="仿宋" w:eastAsia="仿宋"/>
          <w:color w:val="000000"/>
          <w:sz w:val="32"/>
          <w:highlight w:val="white"/>
        </w:rPr>
        <w:t>225.74</w:t>
      </w:r>
      <w:r>
        <w:rPr>
          <w:rFonts w:hint="eastAsia" w:ascii="仿宋" w:hAnsi="仿宋" w:eastAsia="仿宋"/>
          <w:sz w:val="32"/>
          <w:highlight w:val="white"/>
        </w:rPr>
        <w:t>万元，支出决算为</w:t>
      </w:r>
      <w:r>
        <w:rPr>
          <w:rFonts w:hint="eastAsia" w:ascii="仿宋" w:hAnsi="仿宋" w:eastAsia="仿宋"/>
          <w:color w:val="000000"/>
          <w:sz w:val="32"/>
          <w:highlight w:val="white"/>
        </w:rPr>
        <w:t>249.02万元</w:t>
      </w:r>
      <w:r>
        <w:rPr>
          <w:rFonts w:hint="eastAsia" w:ascii="仿宋" w:hAnsi="仿宋" w:eastAsia="仿宋"/>
          <w:sz w:val="32"/>
          <w:highlight w:val="white"/>
        </w:rPr>
        <w:t>,完成年初预算的</w:t>
      </w:r>
      <w:r>
        <w:rPr>
          <w:rFonts w:hint="eastAsia" w:ascii="仿宋" w:hAnsi="仿宋" w:eastAsia="仿宋"/>
          <w:color w:val="000000"/>
          <w:sz w:val="32"/>
          <w:highlight w:val="white"/>
        </w:rPr>
        <w:t>110.31%</w:t>
      </w:r>
      <w:r>
        <w:rPr>
          <w:rFonts w:hint="eastAsia" w:ascii="仿宋" w:hAnsi="仿宋" w:eastAsia="仿宋"/>
          <w:sz w:val="32"/>
          <w:highlight w:val="white"/>
        </w:rPr>
        <w:t>，主要原因是追加了年终考核奖。</w:t>
      </w:r>
      <w:r>
        <w:rPr>
          <w:rFonts w:hint="eastAsia" w:ascii="仿宋" w:hAnsi="仿宋" w:eastAsia="仿宋"/>
          <w:color w:val="000000"/>
          <w:sz w:val="32"/>
          <w:highlight w:val="white"/>
        </w:rPr>
        <w:t>其中：</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教育支出（类）进修及培训（款）培训支出（项）。年初预算为2.86万元，支出决算为0万元，完成年初预算的0%，决算数小于预算数的主要原因培训支出未列支。</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社会保险和就业支出（类）行政事业单位离退休（款）机关事业单位基本养老保险缴费支出（项）。年初预算为15.59万元，支出决算为15.59万元，完成年初预算的100%，决算数等于预算数的原因是执行预算情况良好。</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rPr>
        <w:t>社会保险和就业支出（类）行政事业单位离退休（款）机关事业单位年金缴费支出（项）。年初预算为7.8万元，支出决算为7.33万元，完成年初预算的93.97%，</w:t>
      </w:r>
      <w:r>
        <w:rPr>
          <w:rFonts w:hint="eastAsia" w:ascii="仿宋" w:hAnsi="仿宋" w:eastAsia="仿宋"/>
          <w:color w:val="000000"/>
          <w:sz w:val="32"/>
          <w:highlight w:val="white"/>
        </w:rPr>
        <w:t>决算数小于预算数的主要原因是厉行节约。</w:t>
      </w:r>
    </w:p>
    <w:p>
      <w:pPr>
        <w:spacing w:line="324" w:lineRule="auto"/>
        <w:ind w:firstLine="594"/>
        <w:rPr>
          <w:rFonts w:hint="eastAsia" w:ascii="仿宋" w:hAnsi="仿宋" w:eastAsia="仿宋"/>
          <w:color w:val="000000"/>
          <w:sz w:val="32"/>
        </w:rPr>
      </w:pPr>
      <w:r>
        <w:rPr>
          <w:rFonts w:hint="eastAsia" w:ascii="仿宋" w:hAnsi="仿宋" w:eastAsia="仿宋"/>
          <w:color w:val="000000"/>
          <w:sz w:val="32"/>
        </w:rPr>
        <w:t>社会保险和就业支出（类）行政事业单位离退休（款）其他行政事业单位养老支出（项）。年初预算为0万元，支出决算为0万元，完成年初预算的0%，决算数等于预算数的主要原因是本单位无退休人员，故无相关数据。</w:t>
      </w:r>
    </w:p>
    <w:p>
      <w:pPr>
        <w:spacing w:line="324" w:lineRule="auto"/>
        <w:ind w:firstLine="594"/>
        <w:rPr>
          <w:rFonts w:hint="eastAsia" w:ascii="仿宋" w:hAnsi="仿宋" w:eastAsia="仿宋"/>
          <w:color w:val="000000"/>
          <w:sz w:val="32"/>
        </w:rPr>
      </w:pPr>
      <w:r>
        <w:rPr>
          <w:rFonts w:hint="eastAsia" w:ascii="仿宋" w:hAnsi="仿宋" w:eastAsia="仿宋"/>
          <w:color w:val="000000"/>
          <w:sz w:val="32"/>
        </w:rPr>
        <w:t>卫生健康支出支出（类）行政事业单位医疗（款）事业单位医疗（项）。年初预算为9.26万元，支出决算为9.26万元，完成年初预算的100%，决算数等于预算数的主要原因是执行预算情况良好。</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rPr>
        <w:t>自然资源海洋气象等支出（类）自然资源事务（款）事业运行（国土资源事务）（项）。年初预算为165.96万元，支出决算为190.41万元，完成年初预算的114.73%，决算数大于预算数的主要原因是追加考核奖、公积金、年休假差额。</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rPr>
        <w:t>住房保障支出（类）住房改革支出（款）住房公积金（项）。年初预算为24.28万元，支出决算为26.41万元，完成年初预算的108.77%，决算数大于预算数的主要原因是当年追加了公积金。</w:t>
      </w:r>
    </w:p>
    <w:p>
      <w:pPr>
        <w:spacing w:line="324" w:lineRule="auto"/>
        <w:ind w:firstLine="594"/>
        <w:rPr>
          <w:rFonts w:hint="default" w:eastAsia="Times New Roman"/>
          <w:color w:val="000000"/>
          <w:sz w:val="32"/>
          <w:highlight w:val="white"/>
        </w:rPr>
      </w:pPr>
      <w:r>
        <w:rPr>
          <w:rFonts w:hint="eastAsia" w:ascii="楷体" w:hAnsi="楷体" w:eastAsia="楷体"/>
          <w:b/>
          <w:color w:val="000000"/>
          <w:sz w:val="32"/>
          <w:highlight w:val="white"/>
        </w:rPr>
        <w:t>（六）一般公共预算财政拨款基本支出决算情况说明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2020年度一般公共预算财政拨款基本支出249.02万元，其中：</w:t>
      </w:r>
    </w:p>
    <w:p>
      <w:pPr>
        <w:spacing w:line="560" w:lineRule="exact"/>
        <w:ind w:firstLine="594"/>
        <w:rPr>
          <w:rFonts w:hint="eastAsia" w:ascii="仿宋_GB2312" w:eastAsia="仿宋_GB2312"/>
          <w:color w:val="000000"/>
          <w:sz w:val="32"/>
          <w:highlight w:val="white"/>
        </w:rPr>
      </w:pPr>
      <w:r>
        <w:rPr>
          <w:rFonts w:hint="eastAsia" w:ascii="仿宋" w:hAnsi="仿宋" w:eastAsia="仿宋"/>
          <w:color w:val="000000"/>
          <w:sz w:val="32"/>
          <w:highlight w:val="white"/>
        </w:rPr>
        <w:t>人员经费235.79万元，主要包括：</w:t>
      </w:r>
      <w:r>
        <w:rPr>
          <w:rFonts w:hint="eastAsia" w:ascii="仿宋_GB2312" w:eastAsia="仿宋_GB2312"/>
          <w:color w:val="000000"/>
          <w:sz w:val="32"/>
          <w:highlight w:val="white"/>
        </w:rPr>
        <w:t>基本工资、津贴补贴、奖金、伙食补助费、绩效工资、机关事业单位基本养老保险缴费、职业年金缴费、职工基本医疗保险缴费、公务员医疗补助缴费、其他社会保障缴费、住房公积金、医疗费、其他工资福利支出、离休费、抚恤金、生活补助、医疗费补助、对其他个人和家庭的补助；</w:t>
      </w:r>
    </w:p>
    <w:p>
      <w:pPr>
        <w:spacing w:line="560" w:lineRule="exact"/>
        <w:ind w:firstLine="594"/>
        <w:rPr>
          <w:rFonts w:hint="eastAsia" w:ascii="仿宋_GB2312" w:eastAsia="仿宋_GB2312"/>
          <w:color w:val="000000"/>
          <w:sz w:val="32"/>
          <w:highlight w:val="white"/>
        </w:rPr>
      </w:pPr>
      <w:r>
        <w:rPr>
          <w:rFonts w:hint="eastAsia" w:ascii="仿宋" w:hAnsi="仿宋" w:eastAsia="仿宋"/>
          <w:color w:val="000000"/>
          <w:sz w:val="32"/>
          <w:highlight w:val="white"/>
        </w:rPr>
        <w:t>公用经费13.22万元，主要包括：办公费、印刷费、</w:t>
      </w:r>
      <w:r>
        <w:rPr>
          <w:rFonts w:hint="eastAsia" w:ascii="仿宋_GB2312" w:eastAsia="仿宋_GB2312"/>
          <w:color w:val="000000"/>
          <w:sz w:val="32"/>
          <w:highlight w:val="white"/>
        </w:rPr>
        <w:t>公费、印刷费、水费、电费、邮电费、物业管理费、差旅费、维修（护）费、租赁费、培训费、公务接待费、劳务费、委托业务费、工会经费、福利费、公务用车运行维护费、其他交通费用、税金及附加费用、其他商品和服务支出、办公设备购置、专用设备购置。</w:t>
      </w:r>
    </w:p>
    <w:p>
      <w:pPr>
        <w:spacing w:line="324" w:lineRule="auto"/>
        <w:ind w:left="590" w:leftChars="281"/>
        <w:rPr>
          <w:rFonts w:hint="eastAsia" w:ascii="仿宋" w:hAnsi="仿宋" w:eastAsia="仿宋"/>
          <w:color w:val="000000"/>
          <w:sz w:val="32"/>
          <w:highlight w:val="white"/>
        </w:rPr>
      </w:pPr>
      <w:r>
        <w:rPr>
          <w:rFonts w:hint="eastAsia" w:ascii="楷体" w:hAnsi="楷体" w:eastAsia="楷体"/>
          <w:b/>
          <w:color w:val="000000"/>
          <w:sz w:val="32"/>
          <w:highlight w:val="white"/>
        </w:rPr>
        <w:t>（七）政府性基金预算财政拨款支出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rPr>
        <w:t>总体情况说明</w:t>
      </w:r>
      <w:r>
        <w:rPr>
          <w:rFonts w:hint="eastAsia" w:ascii="仿宋" w:hAnsi="仿宋" w:eastAsia="仿宋"/>
          <w:color w:val="000000"/>
          <w:sz w:val="32"/>
          <w:highlight w:val="white"/>
        </w:rPr>
        <w:t>2020年度</w:t>
      </w:r>
      <w:r>
        <w:rPr>
          <w:rFonts w:hint="eastAsia" w:ascii="楷体" w:hAnsi="楷体" w:eastAsia="楷体"/>
          <w:color w:val="000000"/>
          <w:sz w:val="32"/>
          <w:highlight w:val="white"/>
        </w:rPr>
        <w:t>政府性基金预算财政拨款</w:t>
      </w:r>
      <w:r>
        <w:rPr>
          <w:rFonts w:hint="eastAsia" w:ascii="仿宋" w:hAnsi="仿宋" w:eastAsia="仿宋"/>
          <w:color w:val="000000"/>
          <w:sz w:val="32"/>
          <w:highlight w:val="white"/>
        </w:rPr>
        <w:t>支出11.09万元。其中：</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1.政府性基金预算财政拨款支出决算总体情况。</w:t>
      </w:r>
    </w:p>
    <w:p>
      <w:pPr>
        <w:spacing w:line="324" w:lineRule="auto"/>
        <w:ind w:firstLine="606"/>
        <w:rPr>
          <w:rFonts w:hint="eastAsia" w:ascii="仿宋_GB2312" w:hAnsi="仿宋_GB2312" w:eastAsia="仿宋_GB2312"/>
          <w:b/>
          <w:color w:val="000000"/>
          <w:sz w:val="32"/>
          <w:highlight w:val="white"/>
        </w:rPr>
      </w:pPr>
      <w:r>
        <w:rPr>
          <w:rFonts w:hint="eastAsia" w:ascii="仿宋" w:hAnsi="仿宋" w:eastAsia="仿宋"/>
          <w:color w:val="000000"/>
          <w:sz w:val="32"/>
          <w:highlight w:val="white"/>
        </w:rPr>
        <w:t>2020年度政府性基金预算财政拨款支出11.09万元，占本年支出合计的4.26%。与2019年相比，政府性基金预算财政拨款支出增加3.09万元，增长38.62%。主要原因是：机构改革，业务量增加。</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2.政府性基金预算财政拨款支出决算结构情况。</w:t>
      </w:r>
    </w:p>
    <w:p>
      <w:pPr>
        <w:spacing w:line="324" w:lineRule="auto"/>
        <w:ind w:firstLine="606"/>
        <w:rPr>
          <w:rFonts w:hint="eastAsia" w:ascii="仿宋" w:hAnsi="仿宋" w:eastAsia="仿宋"/>
          <w:b/>
          <w:color w:val="000000"/>
          <w:sz w:val="32"/>
          <w:highlight w:val="white"/>
        </w:rPr>
      </w:pPr>
      <w:r>
        <w:rPr>
          <w:rFonts w:hint="eastAsia" w:ascii="仿宋" w:hAnsi="仿宋" w:eastAsia="仿宋"/>
          <w:color w:val="000000"/>
          <w:sz w:val="32"/>
          <w:highlight w:val="white"/>
        </w:rPr>
        <w:t>2020年度政府性基金预算财政拨款支出11.09万元，主要用于以下方面：科学技术（类）支出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万元,占0%；文化旅游体育与传媒（类）支出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万元,占0%；社会保障和就业（类）支出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万元,占0%；节能环保（类）支出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万元,占0%；城乡社区（类）支出</w:t>
      </w:r>
      <w:r>
        <w:rPr>
          <w:rFonts w:hint="eastAsia" w:ascii="仿宋" w:hAnsi="仿宋" w:eastAsia="仿宋"/>
          <w:sz w:val="30"/>
          <w:highlight w:val="white"/>
          <w:lang w:val="zh-CN"/>
        </w:rPr>
        <w:t>11.09</w:t>
      </w:r>
      <w:r>
        <w:rPr>
          <w:rFonts w:hint="eastAsia" w:ascii="仿宋" w:hAnsi="仿宋" w:eastAsia="仿宋"/>
          <w:color w:val="000000"/>
          <w:sz w:val="32"/>
          <w:highlight w:val="white"/>
        </w:rPr>
        <w:t>万元,占100%；农林水（类）支出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万元,占0%；交通运输（类）支出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万元,占0%；资源勘探信息等（类）支出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万元,占0%；金融（类）支出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万元,占0%；其他（类）支出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万元,占0%；债务付息（类）支出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万元,占0%；抗疫特别国债安排（类）支出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3.政府性基金预算财政拨款支出决算具体情况。</w:t>
      </w:r>
    </w:p>
    <w:p>
      <w:pPr>
        <w:spacing w:line="324" w:lineRule="auto"/>
        <w:ind w:firstLine="594"/>
        <w:rPr>
          <w:rFonts w:hint="eastAsia" w:ascii="仿宋" w:hAnsi="仿宋" w:eastAsia="仿宋"/>
          <w:color w:val="000000"/>
          <w:sz w:val="32"/>
          <w:highlight w:val="white"/>
        </w:rPr>
      </w:pPr>
      <w:r>
        <w:rPr>
          <w:rFonts w:hint="eastAsia" w:ascii="仿宋" w:hAnsi="仿宋" w:eastAsia="仿宋"/>
          <w:sz w:val="32"/>
          <w:highlight w:val="white"/>
        </w:rPr>
        <w:t>2020年度</w:t>
      </w:r>
      <w:r>
        <w:rPr>
          <w:rFonts w:hint="eastAsia" w:ascii="仿宋" w:hAnsi="仿宋" w:eastAsia="仿宋"/>
          <w:color w:val="000000"/>
          <w:sz w:val="32"/>
          <w:highlight w:val="white"/>
        </w:rPr>
        <w:t>政府性基金预算</w:t>
      </w:r>
      <w:r>
        <w:rPr>
          <w:rFonts w:hint="eastAsia" w:ascii="仿宋" w:hAnsi="仿宋" w:eastAsia="仿宋"/>
          <w:sz w:val="32"/>
          <w:highlight w:val="white"/>
        </w:rPr>
        <w:t>财政拨款支出年初预算为</w:t>
      </w:r>
      <w:r>
        <w:rPr>
          <w:rFonts w:hint="eastAsia" w:ascii="仿宋" w:hAnsi="仿宋" w:eastAsia="仿宋"/>
          <w:color w:val="000000"/>
          <w:sz w:val="32"/>
          <w:highlight w:val="white"/>
        </w:rPr>
        <w:t>14</w:t>
      </w:r>
      <w:r>
        <w:rPr>
          <w:rFonts w:hint="eastAsia" w:ascii="仿宋" w:hAnsi="仿宋" w:eastAsia="仿宋"/>
          <w:sz w:val="32"/>
          <w:highlight w:val="white"/>
        </w:rPr>
        <w:t>万元，支出决算为</w:t>
      </w:r>
      <w:r>
        <w:rPr>
          <w:rFonts w:hint="eastAsia" w:ascii="仿宋" w:hAnsi="仿宋" w:eastAsia="仿宋"/>
          <w:color w:val="000000"/>
          <w:sz w:val="32"/>
          <w:highlight w:val="white"/>
        </w:rPr>
        <w:t>11.09万元</w:t>
      </w:r>
      <w:r>
        <w:rPr>
          <w:rFonts w:hint="eastAsia" w:ascii="仿宋" w:hAnsi="仿宋" w:eastAsia="仿宋"/>
          <w:sz w:val="32"/>
          <w:highlight w:val="white"/>
        </w:rPr>
        <w:t>,完成年初预算的</w:t>
      </w:r>
      <w:r>
        <w:rPr>
          <w:rFonts w:hint="eastAsia" w:ascii="仿宋" w:hAnsi="仿宋" w:eastAsia="仿宋"/>
          <w:color w:val="000000"/>
          <w:sz w:val="32"/>
          <w:highlight w:val="white"/>
        </w:rPr>
        <w:t>79.21%</w:t>
      </w:r>
      <w:r>
        <w:rPr>
          <w:rFonts w:hint="eastAsia" w:ascii="仿宋" w:hAnsi="仿宋" w:eastAsia="仿宋"/>
          <w:sz w:val="32"/>
          <w:highlight w:val="white"/>
        </w:rPr>
        <w:t>，主要原因是厉行节约，压缩开支。</w:t>
      </w:r>
      <w:r>
        <w:rPr>
          <w:rFonts w:hint="eastAsia" w:ascii="仿宋" w:hAnsi="仿宋" w:eastAsia="仿宋"/>
          <w:color w:val="000000"/>
          <w:sz w:val="32"/>
          <w:highlight w:val="white"/>
        </w:rPr>
        <w:t>其中：</w:t>
      </w:r>
    </w:p>
    <w:p>
      <w:pPr>
        <w:spacing w:line="324" w:lineRule="auto"/>
        <w:ind w:firstLine="594"/>
        <w:rPr>
          <w:rFonts w:hint="eastAsia" w:ascii="仿宋" w:hAnsi="仿宋" w:eastAsia="仿宋"/>
          <w:b/>
          <w:color w:val="000000"/>
          <w:sz w:val="32"/>
          <w:highlight w:val="white"/>
        </w:rPr>
      </w:pPr>
      <w:r>
        <w:rPr>
          <w:rFonts w:hint="eastAsia" w:ascii="仿宋" w:hAnsi="仿宋" w:eastAsia="仿宋"/>
          <w:color w:val="000000"/>
          <w:sz w:val="32"/>
          <w:highlight w:val="white"/>
        </w:rPr>
        <w:t>城乡社区支出（类）国有土地使用权出让收入（款）土地出让业务支出（项）。年初预算为14万元，支出决算为11.09万元，完成年初预算的79.21%，决算数小于预算数的主要原因是厉行节约，压缩开支。</w:t>
      </w:r>
    </w:p>
    <w:p>
      <w:pPr>
        <w:spacing w:line="324" w:lineRule="auto"/>
        <w:ind w:firstLine="594"/>
        <w:rPr>
          <w:rFonts w:hint="eastAsia" w:ascii="仿宋" w:hAnsi="仿宋" w:eastAsia="仿宋"/>
          <w:b/>
          <w:color w:val="000000"/>
          <w:sz w:val="32"/>
          <w:highlight w:val="white"/>
        </w:rPr>
      </w:pPr>
      <w:r>
        <w:rPr>
          <w:rFonts w:hint="eastAsia" w:ascii="楷体" w:hAnsi="楷体" w:eastAsia="楷体"/>
          <w:b/>
          <w:color w:val="000000"/>
          <w:sz w:val="32"/>
          <w:highlight w:val="white"/>
        </w:rPr>
        <w:t>（八）国有资本经营预算财政拨款支出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rPr>
        <w:t>总体情况说明</w:t>
      </w:r>
    </w:p>
    <w:p>
      <w:pPr>
        <w:spacing w:line="324" w:lineRule="auto"/>
        <w:ind w:firstLine="640" w:firstLineChars="200"/>
        <w:rPr>
          <w:rFonts w:hint="eastAsia" w:ascii="仿宋" w:hAnsi="仿宋" w:eastAsia="仿宋"/>
          <w:b/>
          <w:sz w:val="32"/>
          <w:highlight w:val="white"/>
        </w:rPr>
      </w:pPr>
      <w:r>
        <w:rPr>
          <w:rFonts w:hint="eastAsia" w:ascii="仿宋" w:hAnsi="仿宋" w:eastAsia="仿宋"/>
          <w:sz w:val="32"/>
          <w:highlight w:val="white"/>
        </w:rPr>
        <w:t>本单位2020年度无国有资本经营预算财政拨款收支安排，故无相关数据。</w:t>
      </w:r>
    </w:p>
    <w:p>
      <w:pPr>
        <w:spacing w:line="324" w:lineRule="auto"/>
        <w:ind w:firstLine="640" w:firstLineChars="200"/>
        <w:rPr>
          <w:rFonts w:hint="default" w:eastAsia="Times New Roman"/>
          <w:b/>
          <w:color w:val="000000"/>
          <w:sz w:val="32"/>
          <w:highlight w:val="white"/>
        </w:rPr>
      </w:pPr>
      <w:r>
        <w:rPr>
          <w:rFonts w:hint="eastAsia" w:ascii="楷体" w:hAnsi="楷体" w:eastAsia="楷体"/>
          <w:b/>
          <w:color w:val="000000"/>
          <w:sz w:val="32"/>
          <w:highlight w:val="white"/>
        </w:rPr>
        <w:t>（九）一般公共预算财政拨款“三公”经费支出决算情况说明</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 xml:space="preserve">1.“三公”经费一般公共预算财政拨款支出决算总体情况说明。 </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2020年度“三公”经费一般公共预算财政拨款支出预算为0.5万元，支出决算为0.12万元，完成预算的24%,2020年度“三公”经费支出决算数小于预算数的主要原因是厉行节约。</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2.“三公”经费一般公共预算财政拨款支出决算具体情况说明。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2020年度“三公”经费一般公共预算财政拨款支出决算中，因公出国（境）费用支出决算为0万元，占0%，与2019年度相比，增加/减少0万元，增长/下降0%，主要原因是当年未安排人员出国；公务用车购置及运行维护费支出决算为0万元，占0%，与2019年度相比，增加/减少0万元，增长/下降0%，主要原因是本单位未配置公务车辆及2020年未安排车辆购置；公务接待费支出决算为0.12万元，占24%，与2019年度相比，增加0.06万元，增长100%，主要原因是机构改革，业务接待用餐增加，具体情况如下：</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（1）因公出国（境）费</w:t>
      </w:r>
      <w:r>
        <w:rPr>
          <w:rFonts w:hint="eastAsia" w:ascii="仿宋" w:hAnsi="仿宋" w:eastAsia="仿宋"/>
          <w:color w:val="000000"/>
          <w:sz w:val="32"/>
          <w:highlight w:val="white"/>
        </w:rPr>
        <w:t>预算数为0万元，支出决算为</w:t>
      </w:r>
      <w:r>
        <w:rPr>
          <w:rFonts w:hint="eastAsia" w:ascii="仿宋" w:hAnsi="仿宋" w:eastAsia="仿宋"/>
          <w:sz w:val="30"/>
          <w:highlight w:val="white"/>
          <w:lang w:val="zh-CN"/>
        </w:rPr>
        <w:t>0</w:t>
      </w:r>
      <w:r>
        <w:rPr>
          <w:rFonts w:hint="eastAsia" w:ascii="仿宋" w:hAnsi="仿宋" w:eastAsia="仿宋"/>
          <w:color w:val="000000"/>
          <w:sz w:val="32"/>
          <w:highlight w:val="white"/>
        </w:rPr>
        <w:t>万元。完成预算的0%。主要用于机关及下属预算单位人员的公务出国（境）的住宿费、国际旅费、培训费、公杂费等支出。当年未安排人员出国，故无相关内容。全年使用一般公共预算财政拨款支出涉及因公出国(境)团组0个；累计</w:t>
      </w:r>
      <w:r>
        <w:rPr>
          <w:rFonts w:hint="eastAsia" w:ascii="仿宋" w:hAnsi="仿宋" w:eastAsia="仿宋"/>
          <w:sz w:val="30"/>
          <w:highlight w:val="white"/>
          <w:lang w:val="zh-CN"/>
        </w:rPr>
        <w:t>0</w:t>
      </w:r>
      <w:r>
        <w:rPr>
          <w:rFonts w:hint="eastAsia" w:ascii="仿宋" w:hAnsi="仿宋" w:eastAsia="仿宋"/>
          <w:color w:val="000000"/>
          <w:sz w:val="32"/>
          <w:highlight w:val="white"/>
        </w:rPr>
        <w:t>人次。</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（2）公务用车购置及运行维护费</w:t>
      </w:r>
      <w:r>
        <w:rPr>
          <w:rFonts w:hint="eastAsia" w:ascii="仿宋" w:hAnsi="仿宋" w:eastAsia="仿宋"/>
          <w:color w:val="000000"/>
          <w:sz w:val="32"/>
          <w:highlight w:val="white"/>
        </w:rPr>
        <w:t>预算数为0万元，支出决算为0万元，完成预算的0%。决算数等于预算数的主要原因是本单位未配置公务车辆。</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公务用车购置</w:t>
      </w:r>
      <w:r>
        <w:rPr>
          <w:rFonts w:hint="eastAsia" w:ascii="仿宋" w:hAnsi="仿宋" w:eastAsia="仿宋"/>
          <w:color w:val="000000"/>
          <w:sz w:val="32"/>
          <w:highlight w:val="white"/>
        </w:rPr>
        <w:t>预算数为0万元，支出决算为</w:t>
      </w:r>
      <w:r>
        <w:rPr>
          <w:rFonts w:hint="eastAsia" w:ascii="仿宋" w:hAnsi="仿宋" w:eastAsia="仿宋"/>
          <w:sz w:val="30"/>
          <w:highlight w:val="white"/>
          <w:lang w:val="zh-CN"/>
        </w:rPr>
        <w:t>0</w:t>
      </w:r>
      <w:r>
        <w:rPr>
          <w:rFonts w:hint="eastAsia" w:ascii="仿宋" w:hAnsi="仿宋" w:eastAsia="仿宋"/>
          <w:color w:val="000000"/>
          <w:sz w:val="32"/>
          <w:highlight w:val="white"/>
        </w:rPr>
        <w:t>万元（含购置税等附加费用），完成预算的0%。决算数等于预算数的主要原因是本单位未安排购置公务车辆。</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公务用车运行维护费</w:t>
      </w:r>
      <w:r>
        <w:rPr>
          <w:rFonts w:hint="eastAsia" w:ascii="仿宋" w:hAnsi="仿宋" w:eastAsia="仿宋"/>
          <w:color w:val="000000"/>
          <w:sz w:val="32"/>
          <w:highlight w:val="white"/>
        </w:rPr>
        <w:t>预算数为0万元，支出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万元，完成预算的0%。决算数等于预算数的主要原因是本单位未配置公务车辆。本级及所属单位开支一般公共预算财政拨款的公务用车保有量为</w:t>
      </w:r>
      <w:r>
        <w:rPr>
          <w:rFonts w:hint="eastAsia" w:ascii="仿宋" w:hAnsi="仿宋" w:eastAsia="仿宋"/>
          <w:sz w:val="30"/>
          <w:highlight w:val="white"/>
          <w:lang w:val="zh-CN"/>
        </w:rPr>
        <w:t>0</w:t>
      </w:r>
      <w:r>
        <w:rPr>
          <w:rFonts w:hint="eastAsia" w:ascii="仿宋" w:hAnsi="仿宋" w:eastAsia="仿宋"/>
          <w:color w:val="000000"/>
          <w:sz w:val="32"/>
          <w:highlight w:val="white"/>
        </w:rPr>
        <w:t>辆。</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（3）公务接待费</w:t>
      </w:r>
      <w:r>
        <w:rPr>
          <w:rFonts w:hint="eastAsia" w:ascii="仿宋" w:hAnsi="仿宋" w:eastAsia="仿宋"/>
          <w:color w:val="000000"/>
          <w:sz w:val="32"/>
          <w:highlight w:val="white"/>
        </w:rPr>
        <w:t>预算数为0.5万元，支出决算为0.12万元，完成预算的24%。主要用于接待国内公务支出。决算数小于预算数的主要原因是厉行节约，全年使用一般公共预算财政拨款国内公务接待3团组，累计32人次。</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外宾接待</w:t>
      </w:r>
      <w:r>
        <w:rPr>
          <w:rFonts w:hint="eastAsia" w:ascii="仿宋" w:hAnsi="仿宋" w:eastAsia="仿宋"/>
          <w:color w:val="000000"/>
          <w:sz w:val="32"/>
          <w:highlight w:val="white"/>
        </w:rPr>
        <w:t>支出0万元，主要用于公务接待0团组，0人次，。</w:t>
      </w:r>
    </w:p>
    <w:p>
      <w:pPr>
        <w:spacing w:line="324" w:lineRule="auto"/>
        <w:ind w:firstLine="594"/>
        <w:rPr>
          <w:rFonts w:hint="default" w:eastAsia="Times New Roman"/>
          <w:color w:val="000000"/>
          <w:sz w:val="32"/>
          <w:highlight w:val="white"/>
        </w:rPr>
      </w:pPr>
      <w:r>
        <w:rPr>
          <w:rFonts w:hint="eastAsia" w:ascii="仿宋" w:hAnsi="仿宋" w:eastAsia="仿宋"/>
          <w:b/>
          <w:color w:val="000000"/>
          <w:sz w:val="32"/>
          <w:highlight w:val="white"/>
        </w:rPr>
        <w:t>其他国内公务接待</w:t>
      </w:r>
      <w:r>
        <w:rPr>
          <w:rFonts w:hint="eastAsia" w:ascii="仿宋" w:hAnsi="仿宋" w:eastAsia="仿宋"/>
          <w:color w:val="000000"/>
          <w:sz w:val="32"/>
          <w:highlight w:val="white"/>
        </w:rPr>
        <w:t>支出0.12万元，主要用于省厅、县、市交流业务接待用餐，共3团组，32人次。</w:t>
      </w:r>
    </w:p>
    <w:p>
      <w:pPr>
        <w:spacing w:line="324" w:lineRule="auto"/>
        <w:ind w:firstLine="480" w:firstLineChars="150"/>
        <w:rPr>
          <w:rFonts w:hint="eastAsia" w:ascii="仿宋" w:hAnsi="仿宋" w:eastAsia="仿宋"/>
          <w:color w:val="000000"/>
          <w:sz w:val="32"/>
          <w:highlight w:val="white"/>
        </w:rPr>
      </w:pPr>
      <w:r>
        <w:rPr>
          <w:rFonts w:hint="eastAsia" w:ascii="楷体" w:hAnsi="楷体" w:eastAsia="楷体"/>
          <w:b/>
          <w:color w:val="000000"/>
          <w:sz w:val="32"/>
          <w:highlight w:val="white"/>
        </w:rPr>
        <w:t>（十）机关运行经费支出说明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2020年度机关运行经费年初预算数为0万元，支出决算为</w:t>
      </w:r>
      <w:r>
        <w:rPr>
          <w:rFonts w:hint="eastAsia" w:ascii="仿宋" w:hAnsi="仿宋" w:eastAsia="仿宋"/>
          <w:kern w:val="0"/>
          <w:sz w:val="32"/>
          <w:highlight w:val="white"/>
        </w:rPr>
        <w:t>0</w:t>
      </w:r>
      <w:r>
        <w:rPr>
          <w:rFonts w:hint="eastAsia" w:ascii="仿宋" w:hAnsi="仿宋" w:eastAsia="仿宋"/>
          <w:color w:val="000000"/>
          <w:sz w:val="32"/>
          <w:highlight w:val="white"/>
        </w:rPr>
        <w:t>万元，完成年初预算的0%，决算数大于（或小于）预算数的主要原因；比2019年度增加（减少）0万元，增长（下降）0%，主要原因是本单位为事业单位，故无相关内容。</w:t>
      </w:r>
    </w:p>
    <w:p>
      <w:p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（十一）政府采购支出说明</w:t>
      </w:r>
    </w:p>
    <w:p>
      <w:pPr>
        <w:spacing w:line="324" w:lineRule="auto"/>
        <w:ind w:firstLine="594"/>
        <w:rPr>
          <w:rFonts w:hint="eastAsia" w:ascii="仿宋" w:hAnsi="仿宋" w:eastAsia="仿宋"/>
          <w:sz w:val="32"/>
          <w:highlight w:val="white"/>
        </w:rPr>
      </w:pPr>
      <w:r>
        <w:rPr>
          <w:rFonts w:hint="eastAsia" w:ascii="仿宋" w:hAnsi="仿宋" w:eastAsia="仿宋"/>
          <w:color w:val="000000"/>
          <w:sz w:val="32"/>
          <w:highlight w:val="white"/>
        </w:rPr>
        <w:t>2020年度政府采购支出总额</w:t>
      </w:r>
      <w:r>
        <w:rPr>
          <w:rFonts w:hint="eastAsia" w:ascii="仿宋" w:hAnsi="仿宋" w:eastAsia="仿宋"/>
          <w:kern w:val="0"/>
          <w:sz w:val="32"/>
          <w:highlight w:val="white"/>
        </w:rPr>
        <w:t>0.98</w:t>
      </w:r>
      <w:r>
        <w:rPr>
          <w:rFonts w:hint="eastAsia" w:ascii="仿宋" w:hAnsi="仿宋" w:eastAsia="仿宋"/>
          <w:color w:val="000000"/>
          <w:sz w:val="32"/>
          <w:highlight w:val="white"/>
        </w:rPr>
        <w:t>万元，其中：政府采购货物支出</w:t>
      </w:r>
      <w:r>
        <w:rPr>
          <w:rFonts w:hint="eastAsia" w:ascii="仿宋" w:hAnsi="仿宋" w:eastAsia="仿宋"/>
          <w:kern w:val="0"/>
          <w:sz w:val="32"/>
          <w:highlight w:val="white"/>
        </w:rPr>
        <w:t>0.98</w:t>
      </w:r>
      <w:r>
        <w:rPr>
          <w:rFonts w:hint="eastAsia" w:ascii="仿宋" w:hAnsi="仿宋" w:eastAsia="仿宋"/>
          <w:color w:val="000000"/>
          <w:sz w:val="32"/>
          <w:highlight w:val="white"/>
        </w:rPr>
        <w:t>万元、政府采购工程支出</w:t>
      </w:r>
      <w:r>
        <w:rPr>
          <w:rFonts w:hint="eastAsia" w:ascii="仿宋" w:hAnsi="仿宋" w:eastAsia="仿宋"/>
          <w:kern w:val="0"/>
          <w:sz w:val="32"/>
          <w:highlight w:val="white"/>
        </w:rPr>
        <w:t>0</w:t>
      </w:r>
      <w:r>
        <w:rPr>
          <w:rFonts w:hint="eastAsia" w:ascii="仿宋" w:hAnsi="仿宋" w:eastAsia="仿宋"/>
          <w:color w:val="000000"/>
          <w:sz w:val="32"/>
          <w:highlight w:val="white"/>
        </w:rPr>
        <w:t>万元、政府采购服务支出</w:t>
      </w:r>
      <w:r>
        <w:rPr>
          <w:rFonts w:hint="eastAsia" w:ascii="仿宋" w:hAnsi="仿宋" w:eastAsia="仿宋"/>
          <w:kern w:val="0"/>
          <w:sz w:val="32"/>
          <w:highlight w:val="white"/>
        </w:rPr>
        <w:t>0</w:t>
      </w:r>
      <w:r>
        <w:rPr>
          <w:rFonts w:hint="eastAsia" w:ascii="仿宋" w:hAnsi="仿宋" w:eastAsia="仿宋"/>
          <w:color w:val="000000"/>
          <w:sz w:val="32"/>
          <w:highlight w:val="white"/>
        </w:rPr>
        <w:t>万元。</w:t>
      </w:r>
      <w:r>
        <w:rPr>
          <w:rFonts w:hint="eastAsia" w:ascii="仿宋" w:hAnsi="仿宋" w:eastAsia="仿宋"/>
          <w:sz w:val="32"/>
          <w:highlight w:val="white"/>
        </w:rPr>
        <w:t>授予中小企业合同金额</w:t>
      </w:r>
      <w:r>
        <w:rPr>
          <w:rFonts w:hint="eastAsia" w:ascii="仿宋" w:hAnsi="仿宋" w:eastAsia="仿宋"/>
          <w:kern w:val="0"/>
          <w:sz w:val="32"/>
          <w:highlight w:val="white"/>
        </w:rPr>
        <w:t>0.98</w:t>
      </w:r>
      <w:r>
        <w:rPr>
          <w:rFonts w:hint="eastAsia" w:ascii="仿宋" w:hAnsi="仿宋" w:eastAsia="仿宋"/>
          <w:sz w:val="32"/>
          <w:highlight w:val="white"/>
        </w:rPr>
        <w:t>万元，占政府采购支出总额的</w:t>
      </w:r>
      <w:r>
        <w:rPr>
          <w:rFonts w:hint="eastAsia" w:ascii="仿宋" w:hAnsi="仿宋" w:eastAsia="仿宋"/>
          <w:kern w:val="0"/>
          <w:sz w:val="32"/>
          <w:highlight w:val="white"/>
        </w:rPr>
        <w:t>100</w:t>
      </w:r>
      <w:r>
        <w:rPr>
          <w:rFonts w:hint="eastAsia" w:ascii="仿宋" w:hAnsi="仿宋" w:eastAsia="仿宋"/>
          <w:sz w:val="32"/>
          <w:highlight w:val="white"/>
        </w:rPr>
        <w:t>%。</w:t>
      </w:r>
      <w:r>
        <w:rPr>
          <w:rFonts w:hint="eastAsia" w:ascii="仿宋" w:hAnsi="仿宋" w:eastAsia="仿宋"/>
          <w:color w:val="000000"/>
          <w:sz w:val="32"/>
          <w:highlight w:val="white"/>
        </w:rPr>
        <w:t>其中，授予小微企业合同金额</w:t>
      </w:r>
      <w:r>
        <w:rPr>
          <w:rFonts w:hint="eastAsia" w:ascii="仿宋" w:hAnsi="仿宋" w:eastAsia="仿宋"/>
          <w:kern w:val="0"/>
          <w:sz w:val="32"/>
          <w:highlight w:val="white"/>
        </w:rPr>
        <w:t>0</w:t>
      </w:r>
      <w:r>
        <w:rPr>
          <w:rFonts w:hint="eastAsia" w:ascii="仿宋" w:hAnsi="仿宋" w:eastAsia="仿宋"/>
          <w:color w:val="000000"/>
          <w:sz w:val="32"/>
          <w:highlight w:val="white"/>
        </w:rPr>
        <w:t>万元，占政府采购支出总额的</w:t>
      </w:r>
      <w:r>
        <w:rPr>
          <w:rFonts w:hint="eastAsia" w:ascii="仿宋" w:hAnsi="仿宋" w:eastAsia="仿宋"/>
          <w:kern w:val="0"/>
          <w:sz w:val="32"/>
          <w:highlight w:val="white"/>
        </w:rPr>
        <w:t>0</w:t>
      </w:r>
      <w:r>
        <w:rPr>
          <w:rFonts w:hint="eastAsia" w:ascii="仿宋" w:hAnsi="仿宋" w:eastAsia="仿宋"/>
          <w:sz w:val="32"/>
          <w:highlight w:val="white"/>
        </w:rPr>
        <w:t>%。</w:t>
      </w:r>
    </w:p>
    <w:p>
      <w:p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（十二）国有资产占有情况说明</w:t>
      </w:r>
    </w:p>
    <w:p>
      <w:pPr>
        <w:spacing w:line="324" w:lineRule="auto"/>
        <w:ind w:firstLine="594"/>
        <w:rPr>
          <w:rFonts w:hint="eastAsia" w:ascii="楷体" w:hAnsi="楷体" w:eastAsia="楷体"/>
          <w:b/>
          <w:color w:val="000000"/>
          <w:sz w:val="32"/>
          <w:highlight w:val="white"/>
        </w:rPr>
      </w:pPr>
      <w:r>
        <w:rPr>
          <w:rFonts w:hint="eastAsia" w:ascii="仿宋" w:hAnsi="仿宋" w:eastAsia="仿宋"/>
          <w:color w:val="000000"/>
          <w:sz w:val="32"/>
          <w:highlight w:val="white"/>
        </w:rPr>
        <w:t>截至2020年12月31日，本单位共有车辆</w:t>
      </w:r>
      <w:r>
        <w:rPr>
          <w:rFonts w:hint="eastAsia" w:ascii="仿宋" w:hAnsi="仿宋" w:eastAsia="仿宋"/>
          <w:kern w:val="0"/>
          <w:sz w:val="32"/>
          <w:highlight w:val="white"/>
        </w:rPr>
        <w:t>0</w:t>
      </w:r>
      <w:r>
        <w:rPr>
          <w:rFonts w:hint="eastAsia" w:ascii="仿宋" w:hAnsi="仿宋" w:eastAsia="仿宋"/>
          <w:color w:val="000000"/>
          <w:sz w:val="32"/>
          <w:highlight w:val="white"/>
        </w:rPr>
        <w:t>辆，其中，副部（省）级及以上领导用车</w:t>
      </w:r>
      <w:r>
        <w:rPr>
          <w:rFonts w:hint="eastAsia" w:ascii="仿宋" w:hAnsi="仿宋" w:eastAsia="仿宋"/>
          <w:kern w:val="0"/>
          <w:sz w:val="32"/>
          <w:highlight w:val="white"/>
        </w:rPr>
        <w:t>0</w:t>
      </w:r>
      <w:r>
        <w:rPr>
          <w:rFonts w:hint="eastAsia" w:ascii="仿宋" w:hAnsi="仿宋" w:eastAsia="仿宋"/>
          <w:color w:val="000000"/>
          <w:sz w:val="32"/>
          <w:highlight w:val="white"/>
        </w:rPr>
        <w:t>辆、主要领导干部用车</w:t>
      </w:r>
      <w:r>
        <w:rPr>
          <w:rFonts w:hint="eastAsia" w:ascii="仿宋" w:hAnsi="仿宋" w:eastAsia="仿宋"/>
          <w:kern w:val="0"/>
          <w:sz w:val="32"/>
          <w:highlight w:val="white"/>
        </w:rPr>
        <w:t>0</w:t>
      </w:r>
      <w:r>
        <w:rPr>
          <w:rFonts w:hint="eastAsia" w:ascii="仿宋" w:hAnsi="仿宋" w:eastAsia="仿宋"/>
          <w:color w:val="000000"/>
          <w:sz w:val="32"/>
          <w:highlight w:val="white"/>
        </w:rPr>
        <w:t>辆、机要通信用车</w:t>
      </w:r>
      <w:r>
        <w:rPr>
          <w:rFonts w:hint="eastAsia" w:ascii="仿宋" w:hAnsi="仿宋" w:eastAsia="仿宋"/>
          <w:kern w:val="0"/>
          <w:sz w:val="32"/>
          <w:highlight w:val="white"/>
        </w:rPr>
        <w:t>0</w:t>
      </w:r>
      <w:r>
        <w:rPr>
          <w:rFonts w:hint="eastAsia" w:ascii="仿宋" w:hAnsi="仿宋" w:eastAsia="仿宋"/>
          <w:color w:val="000000"/>
          <w:sz w:val="32"/>
          <w:highlight w:val="white"/>
        </w:rPr>
        <w:t>辆、应急保障用车</w:t>
      </w:r>
      <w:r>
        <w:rPr>
          <w:rFonts w:hint="eastAsia" w:ascii="仿宋" w:hAnsi="仿宋" w:eastAsia="仿宋"/>
          <w:kern w:val="0"/>
          <w:sz w:val="32"/>
          <w:highlight w:val="white"/>
        </w:rPr>
        <w:t>0</w:t>
      </w:r>
      <w:r>
        <w:rPr>
          <w:rFonts w:hint="eastAsia" w:ascii="仿宋" w:hAnsi="仿宋" w:eastAsia="仿宋"/>
          <w:color w:val="000000"/>
          <w:sz w:val="32"/>
          <w:highlight w:val="white"/>
        </w:rPr>
        <w:t>辆、执法执勤用车</w:t>
      </w:r>
      <w:r>
        <w:rPr>
          <w:rFonts w:hint="eastAsia" w:ascii="仿宋" w:hAnsi="仿宋" w:eastAsia="仿宋"/>
          <w:kern w:val="0"/>
          <w:sz w:val="32"/>
          <w:highlight w:val="white"/>
        </w:rPr>
        <w:t>0</w:t>
      </w:r>
      <w:r>
        <w:rPr>
          <w:rFonts w:hint="eastAsia" w:ascii="仿宋" w:hAnsi="仿宋" w:eastAsia="仿宋"/>
          <w:color w:val="000000"/>
          <w:sz w:val="32"/>
          <w:highlight w:val="white"/>
        </w:rPr>
        <w:t>辆、特种专业技术用车</w:t>
      </w:r>
      <w:r>
        <w:rPr>
          <w:rFonts w:hint="eastAsia" w:ascii="仿宋" w:hAnsi="仿宋" w:eastAsia="仿宋"/>
          <w:kern w:val="0"/>
          <w:sz w:val="32"/>
          <w:highlight w:val="white"/>
        </w:rPr>
        <w:t>0</w:t>
      </w:r>
      <w:r>
        <w:rPr>
          <w:rFonts w:hint="eastAsia" w:ascii="仿宋" w:hAnsi="仿宋" w:eastAsia="仿宋"/>
          <w:color w:val="000000"/>
          <w:sz w:val="32"/>
          <w:highlight w:val="white"/>
        </w:rPr>
        <w:t>辆、离退休干部用车</w:t>
      </w:r>
      <w:r>
        <w:rPr>
          <w:rFonts w:hint="eastAsia" w:ascii="仿宋" w:hAnsi="仿宋" w:eastAsia="仿宋"/>
          <w:kern w:val="0"/>
          <w:sz w:val="32"/>
          <w:highlight w:val="white"/>
        </w:rPr>
        <w:t>0</w:t>
      </w:r>
      <w:r>
        <w:rPr>
          <w:rFonts w:hint="eastAsia" w:ascii="仿宋" w:hAnsi="仿宋" w:eastAsia="仿宋"/>
          <w:color w:val="000000"/>
          <w:sz w:val="32"/>
          <w:highlight w:val="white"/>
        </w:rPr>
        <w:t>辆、其他用车</w:t>
      </w:r>
      <w:r>
        <w:rPr>
          <w:rFonts w:hint="eastAsia" w:ascii="仿宋" w:hAnsi="仿宋" w:eastAsia="仿宋"/>
          <w:kern w:val="0"/>
          <w:sz w:val="32"/>
          <w:highlight w:val="white"/>
        </w:rPr>
        <w:t>0</w:t>
      </w:r>
      <w:r>
        <w:rPr>
          <w:rFonts w:hint="eastAsia" w:ascii="仿宋" w:hAnsi="仿宋" w:eastAsia="仿宋"/>
          <w:color w:val="000000"/>
          <w:sz w:val="32"/>
          <w:highlight w:val="white"/>
        </w:rPr>
        <w:t>辆,单价50万元以上通用设备</w:t>
      </w:r>
      <w:r>
        <w:rPr>
          <w:rFonts w:hint="eastAsia" w:ascii="仿宋" w:hAnsi="仿宋" w:eastAsia="仿宋"/>
          <w:kern w:val="0"/>
          <w:sz w:val="32"/>
          <w:highlight w:val="white"/>
        </w:rPr>
        <w:t>0</w:t>
      </w:r>
      <w:r>
        <w:rPr>
          <w:rFonts w:hint="eastAsia" w:ascii="仿宋" w:hAnsi="仿宋" w:eastAsia="仿宋"/>
          <w:color w:val="000000"/>
          <w:sz w:val="32"/>
          <w:highlight w:val="white"/>
        </w:rPr>
        <w:t>台（套），单价100万元以上专用设备</w:t>
      </w:r>
      <w:r>
        <w:rPr>
          <w:rFonts w:hint="eastAsia" w:ascii="仿宋" w:hAnsi="仿宋" w:eastAsia="仿宋"/>
          <w:kern w:val="0"/>
          <w:sz w:val="32"/>
          <w:highlight w:val="white"/>
        </w:rPr>
        <w:t>0</w:t>
      </w:r>
      <w:r>
        <w:rPr>
          <w:rFonts w:hint="eastAsia" w:ascii="仿宋" w:hAnsi="仿宋" w:eastAsia="仿宋"/>
          <w:color w:val="000000"/>
          <w:sz w:val="32"/>
          <w:highlight w:val="white"/>
        </w:rPr>
        <w:t>台（套）。</w:t>
      </w:r>
      <w:r>
        <w:rPr>
          <w:rFonts w:hint="eastAsia" w:ascii="仿宋_GB2312" w:hAnsi="仿宋_GB2312" w:eastAsia="仿宋_GB2312"/>
          <w:color w:val="000000"/>
          <w:sz w:val="32"/>
          <w:highlight w:val="white"/>
        </w:rPr>
        <w:t xml:space="preserve"> </w:t>
      </w:r>
    </w:p>
    <w:p>
      <w:pPr>
        <w:spacing w:line="324" w:lineRule="auto"/>
        <w:ind w:firstLine="594"/>
        <w:rPr>
          <w:rFonts w:hint="eastAsia" w:ascii="仿宋" w:hAnsi="仿宋" w:eastAsia="仿宋"/>
          <w:color w:val="000000"/>
          <w:sz w:val="32"/>
          <w:highlight w:val="white"/>
        </w:rPr>
      </w:pPr>
      <w:r>
        <w:rPr>
          <w:rFonts w:hint="eastAsia" w:ascii="楷体" w:hAnsi="楷体" w:eastAsia="楷体"/>
          <w:b/>
          <w:color w:val="000000"/>
          <w:sz w:val="32"/>
          <w:highlight w:val="white"/>
        </w:rPr>
        <w:t>（十三）预算绩效情况说明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1.预算绩效管理工作开展情况。</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根据预算绩效管理要求，金华市自然资源和规划信息中心对2020年度一般公共预算项目支出全面开展绩效自评，其中，一级项目0个，二级项目0个，共涉及资金0万元，占一般公共预算项目支出总额的0%。组织对2020年度信息化工作经费等2个政府性基金预算项目支出开展绩效自评，共涉及资金14万元，占政府性基金预算项目支出总额的100%。</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本年无部门评价</w:t>
      </w:r>
      <w:r>
        <w:rPr>
          <w:rFonts w:hint="eastAsia" w:ascii="仿宋" w:hAnsi="仿宋" w:eastAsia="仿宋"/>
          <w:color w:val="000000"/>
          <w:sz w:val="32"/>
          <w:highlight w:val="white"/>
        </w:rPr>
        <w:t>。</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本年无部门整体支出绩效评价。</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本年无下属部门或单位整体支出绩效评价</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2、单位决算中项目绩效自评结果</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金华市自然资源和规划信息中心在2020年度部门决算中反映信息化工作经费、信息化运行维护经费项目自评结果。</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1、信息化工作经费项目绩效自评综述：根据年初设定的绩效目标，项目自评得分92分，自评结论为“优”。项目全年预算数为9万元，执行数为6.88万元，完成预算的76.44%。项目绩效目标完成情况：</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一是开展了信息化顶层设计、空间基础信息平台一期建设，为“十四五”开局打好基础。二是根据省市统一部署，协助做好我局政府数字化转型工作，全面深化“最多跑一次”改革，优化梳理办理流程，积极打造营商环境最优化目标，提升办事服务水平。三是做好政务信息网上公开。2020年度市局门户网站按照上级要求进行了两次迁移整合，本年度更新政务信息约2652条，其中政务动态271条，通知公告107条，人事信息18条，业务公告944条（规划批前26条，规划批后23条，建设批前551，建设批后344），不动产登记公告1312条。发现的问题及原因：一是数据共享存在瓶颈。资规局内部在用信息系统较多，部、省统建的系统间数据共享难。二是综合人才相对缺乏。在政府数字化转型背景下，队伍力量还有待加强，综合业务水平有待提高。下一步改进措施：一是继续开展政府数字化转型各项工作，包括政务2.0深化完善、互联网+监管应用、市不动产智慧平台建设等，以数字赋能支撑数字资规改革创新。二是加强信息化队伍建设。建立健全信息化综合人才培养，加强队伍人员的培训，提升队伍业务水平能力，保障信息化建设的可持续发展。三是推进信息化重点项目建设，高水平完成全年目标任务。</w:t>
      </w:r>
    </w:p>
    <w:p>
      <w:pPr>
        <w:snapToGrid w:val="0"/>
        <w:spacing w:line="500" w:lineRule="exact"/>
        <w:rPr>
          <w:rFonts w:hint="eastAsia" w:ascii="黑体" w:hAnsi="黑体" w:eastAsia="黑体"/>
          <w:sz w:val="32"/>
        </w:rPr>
      </w:pPr>
      <w:r>
        <w:rPr>
          <w:rFonts w:hint="eastAsia" w:ascii="黑体" w:hAnsi="黑体" w:eastAsia="黑体"/>
          <w:sz w:val="32"/>
        </w:rPr>
        <w:t>附件1</w:t>
      </w:r>
    </w:p>
    <w:p>
      <w:pPr>
        <w:spacing w:line="560" w:lineRule="exact"/>
        <w:jc w:val="center"/>
        <w:rPr>
          <w:rFonts w:hint="default" w:eastAsia="Times New Roman"/>
          <w:kern w:val="0"/>
          <w:sz w:val="44"/>
        </w:rPr>
      </w:pPr>
      <w:r>
        <w:rPr>
          <w:rFonts w:hint="eastAsia" w:ascii="宋体" w:hAnsi="宋体"/>
          <w:kern w:val="0"/>
          <w:sz w:val="44"/>
        </w:rPr>
        <w:t>金华市本级项目支出绩效自评表</w:t>
      </w:r>
    </w:p>
    <w:p>
      <w:pPr>
        <w:spacing w:line="560" w:lineRule="exact"/>
        <w:jc w:val="center"/>
        <w:rPr>
          <w:rFonts w:hint="default" w:ascii="???????" w:eastAsia="Times New Roman"/>
          <w:kern w:val="0"/>
          <w:sz w:val="40"/>
        </w:rPr>
      </w:pPr>
      <w:r>
        <w:rPr>
          <w:rFonts w:hint="eastAsia" w:ascii="???????" w:hAnsi="???????"/>
          <w:kern w:val="0"/>
          <w:sz w:val="40"/>
        </w:rPr>
        <w:t>（</w:t>
      </w:r>
      <w:r>
        <w:rPr>
          <w:rFonts w:hint="default" w:ascii="???????" w:hAnsi="???????"/>
          <w:kern w:val="0"/>
          <w:sz w:val="40"/>
        </w:rPr>
        <w:t>2020</w:t>
      </w:r>
      <w:r>
        <w:rPr>
          <w:rFonts w:hint="eastAsia" w:ascii="???????" w:hAnsi="???????"/>
          <w:kern w:val="0"/>
          <w:sz w:val="40"/>
        </w:rPr>
        <w:t>年度）</w:t>
      </w:r>
    </w:p>
    <w:p>
      <w:pPr>
        <w:spacing w:line="560" w:lineRule="exact"/>
        <w:rPr>
          <w:rFonts w:hint="default" w:eastAsia="仿宋_GB2312"/>
          <w:kern w:val="0"/>
          <w:sz w:val="24"/>
        </w:rPr>
      </w:pPr>
      <w:r>
        <w:rPr>
          <w:rFonts w:hint="eastAsia" w:eastAsia="仿宋_GB2312"/>
          <w:kern w:val="0"/>
          <w:sz w:val="24"/>
        </w:rPr>
        <w:t>实施单位（盖章）：金华市自然资源和规划信息中心</w:t>
      </w:r>
    </w:p>
    <w:tbl>
      <w:tblPr>
        <w:tblStyle w:val="5"/>
        <w:tblW w:w="95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972"/>
        <w:gridCol w:w="147"/>
        <w:gridCol w:w="101"/>
        <w:gridCol w:w="1116"/>
        <w:gridCol w:w="376"/>
        <w:gridCol w:w="1266"/>
        <w:gridCol w:w="544"/>
        <w:gridCol w:w="401"/>
        <w:gridCol w:w="1000"/>
        <w:gridCol w:w="633"/>
        <w:gridCol w:w="83"/>
        <w:gridCol w:w="485"/>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项目名称</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信息化工作经费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金华市自然资源和规划局</w:t>
            </w:r>
          </w:p>
        </w:tc>
        <w:tc>
          <w:tcPr>
            <w:tcW w:w="2117" w:type="dxa"/>
            <w:gridSpan w:val="4"/>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金华市自然资源和规划信息中心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起止时间</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2020.01.01-2020.13.31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2211"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年初预算数</w:t>
            </w:r>
          </w:p>
        </w:tc>
        <w:tc>
          <w:tcPr>
            <w:tcW w:w="1716"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left"/>
              <w:rPr>
                <w:rFonts w:hint="default" w:eastAsia="仿宋_GB2312"/>
                <w:sz w:val="24"/>
              </w:rPr>
            </w:pPr>
            <w:r>
              <w:rPr>
                <w:rFonts w:hint="eastAsia" w:eastAsia="仿宋_GB2312"/>
                <w:sz w:val="24"/>
              </w:rPr>
              <w:t>年度资金总额</w:t>
            </w:r>
          </w:p>
        </w:tc>
        <w:tc>
          <w:tcPr>
            <w:tcW w:w="2211"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4"/>
              </w:rPr>
            </w:pPr>
            <w:r>
              <w:rPr>
                <w:rFonts w:hint="default" w:eastAsia="仿宋_GB2312"/>
                <w:sz w:val="24"/>
              </w:rPr>
              <w:t>9</w:t>
            </w:r>
          </w:p>
        </w:tc>
        <w:tc>
          <w:tcPr>
            <w:tcW w:w="1716"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4"/>
              </w:rPr>
            </w:pPr>
            <w:r>
              <w:rPr>
                <w:rFonts w:hint="default" w:eastAsia="仿宋_GB2312"/>
                <w:sz w:val="24"/>
              </w:rPr>
              <w:t>9</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topLinePunct/>
              <w:spacing w:line="240" w:lineRule="exact"/>
              <w:ind w:firstLine="240" w:firstLineChars="100"/>
              <w:rPr>
                <w:rFonts w:hint="default" w:eastAsia="仿宋_GB2312"/>
                <w:kern w:val="0"/>
                <w:sz w:val="24"/>
              </w:rPr>
            </w:pPr>
            <w:r>
              <w:rPr>
                <w:rFonts w:hint="eastAsia" w:eastAsia="仿宋_GB2312"/>
                <w:kern w:val="0"/>
                <w:sz w:val="24"/>
              </w:rPr>
              <w:t>其中：市本级</w:t>
            </w:r>
          </w:p>
          <w:p>
            <w:pPr>
              <w:topLinePunct/>
              <w:spacing w:line="240" w:lineRule="exact"/>
              <w:jc w:val="right"/>
              <w:rPr>
                <w:rFonts w:hint="default" w:eastAsia="仿宋_GB2312"/>
                <w:kern w:val="0"/>
                <w:sz w:val="24"/>
              </w:rPr>
            </w:pPr>
            <w:r>
              <w:rPr>
                <w:rFonts w:hint="eastAsia" w:eastAsia="仿宋_GB2312"/>
                <w:kern w:val="0"/>
                <w:sz w:val="24"/>
              </w:rPr>
              <w:t>安排资金</w:t>
            </w:r>
          </w:p>
        </w:tc>
        <w:tc>
          <w:tcPr>
            <w:tcW w:w="2211"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9</w:t>
            </w:r>
          </w:p>
        </w:tc>
        <w:tc>
          <w:tcPr>
            <w:tcW w:w="1716"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9</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年度总体目标</w:t>
            </w:r>
          </w:p>
        </w:tc>
        <w:tc>
          <w:tcPr>
            <w:tcW w:w="4923"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预期目标</w:t>
            </w:r>
          </w:p>
        </w:tc>
        <w:tc>
          <w:tcPr>
            <w:tcW w:w="4009"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7" w:hRule="atLeast"/>
          <w:jc w:val="center"/>
        </w:trPr>
        <w:tc>
          <w:tcPr>
            <w:tcW w:w="648" w:type="dxa"/>
            <w:vMerge w:val="continue"/>
            <w:tcBorders>
              <w:top w:val="nil"/>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4923"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为构筑以信息化为支撑的自然资源管理运行体系，创新管理模式、规范管理方式、提升管理效能，不断提高信息化在国土资源管理改革创新进程中的支撑能力和服务能力及管理水平。</w:t>
            </w:r>
          </w:p>
        </w:tc>
        <w:tc>
          <w:tcPr>
            <w:tcW w:w="4009"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ascii="仿宋_GB2312" w:hAnsi="仿宋_GB2312" w:eastAsia="仿宋_GB2312"/>
                <w:kern w:val="0"/>
                <w:sz w:val="21"/>
              </w:rPr>
              <w:t>按计划完成信息化支撑服务，完成国土空间规划“一张图”实施监督系统的建设试运行，完成信息系统和网络的运维保障等工作。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绩</w:t>
            </w:r>
            <w:r>
              <w:rPr>
                <w:rFonts w:hint="default" w:eastAsia="仿宋_GB2312"/>
                <w:kern w:val="0"/>
                <w:sz w:val="24"/>
              </w:rPr>
              <w:t xml:space="preserve"> </w:t>
            </w:r>
            <w:r>
              <w:rPr>
                <w:rFonts w:hint="eastAsia" w:eastAsia="仿宋_GB2312"/>
                <w:kern w:val="0"/>
                <w:sz w:val="24"/>
              </w:rPr>
              <w:t>效</w:t>
            </w:r>
            <w:r>
              <w:rPr>
                <w:rFonts w:hint="default" w:eastAsia="仿宋_GB2312"/>
                <w:kern w:val="0"/>
                <w:sz w:val="24"/>
              </w:rPr>
              <w:t xml:space="preserve"> </w:t>
            </w:r>
            <w:r>
              <w:rPr>
                <w:rFonts w:hint="eastAsia" w:eastAsia="仿宋_GB2312"/>
                <w:kern w:val="0"/>
                <w:sz w:val="24"/>
              </w:rPr>
              <w:t>指</w:t>
            </w:r>
            <w:r>
              <w:rPr>
                <w:rFonts w:hint="default" w:eastAsia="仿宋_GB2312"/>
                <w:kern w:val="0"/>
                <w:sz w:val="24"/>
              </w:rPr>
              <w:t xml:space="preserve"> </w:t>
            </w:r>
            <w:r>
              <w:rPr>
                <w:rFonts w:hint="eastAsia" w:eastAsia="仿宋_GB2312"/>
                <w:kern w:val="0"/>
                <w:sz w:val="24"/>
              </w:rPr>
              <w:t>标</w:t>
            </w:r>
          </w:p>
        </w:tc>
        <w:tc>
          <w:tcPr>
            <w:tcW w:w="122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一级指标</w:t>
            </w:r>
          </w:p>
        </w:tc>
        <w:tc>
          <w:tcPr>
            <w:tcW w:w="1116"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二级指标</w:t>
            </w: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三级指标</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年度指标值</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实际完成值</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权重</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得分</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0"/>
              </w:rPr>
              <w:t>偏差原因分析及改进措施</w:t>
            </w:r>
            <w:r>
              <w:rPr>
                <w:rFonts w:hint="eastAsia" w:eastAsia="仿宋_GB2312"/>
                <w:b/>
                <w:kern w:val="0"/>
                <w:sz w:val="20"/>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产出指标（</w:t>
            </w:r>
            <w:r>
              <w:rPr>
                <w:rFonts w:hint="default" w:eastAsia="仿宋_GB2312"/>
                <w:kern w:val="0"/>
                <w:sz w:val="21"/>
              </w:rPr>
              <w:t>50</w:t>
            </w:r>
            <w:r>
              <w:rPr>
                <w:rFonts w:hint="eastAsia" w:eastAsia="仿宋_GB2312"/>
                <w:kern w:val="0"/>
                <w:sz w:val="21"/>
              </w:rPr>
              <w:t>分）</w:t>
            </w:r>
          </w:p>
        </w:tc>
        <w:tc>
          <w:tcPr>
            <w:tcW w:w="1116" w:type="dxa"/>
            <w:vMerge w:val="restart"/>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r>
              <w:rPr>
                <w:rFonts w:hint="eastAsia" w:ascii="宋体" w:hAnsi="宋体"/>
                <w:color w:val="000000"/>
                <w:kern w:val="0"/>
                <w:sz w:val="20"/>
              </w:rPr>
              <w:t>数量目标</w:t>
            </w:r>
          </w:p>
          <w:p>
            <w:pPr>
              <w:jc w:val="center"/>
              <w:textAlignment w:val="center"/>
              <w:rPr>
                <w:rFonts w:hint="eastAsia" w:ascii="宋体"/>
                <w:color w:val="000000"/>
                <w:kern w:val="0"/>
                <w:sz w:val="20"/>
              </w:rPr>
            </w:pP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指标1：确保市级自然资源业务系统正常运行</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ascii="仿宋_GB2312" w:hAnsi="仿宋_GB2312" w:eastAsia="仿宋_GB2312"/>
                <w:kern w:val="0"/>
                <w:sz w:val="21"/>
              </w:rPr>
              <w:t>保障日常信息化工作</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完成</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5</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ascii="仿宋_GB2312" w:hAnsi="仿宋_GB2312" w:eastAsia="仿宋_GB2312"/>
                <w:kern w:val="0"/>
                <w:sz w:val="21"/>
              </w:rPr>
              <w:t>按计划完成信息化支撑服务以及全市信息化会议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eastAsia="Times New Roman"/>
                <w:kern w:val="0"/>
                <w:sz w:val="21"/>
              </w:rPr>
            </w:pPr>
            <w:r>
              <w:rPr>
                <w:rFonts w:hint="eastAsia" w:ascii="仿宋_GB2312" w:hAnsi="仿宋_GB2312" w:eastAsia="仿宋_GB2312"/>
                <w:kern w:val="0"/>
                <w:sz w:val="21"/>
              </w:rPr>
              <w:t>指标2：开展国土空间规划“一张图”实施监督系统建设</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实现试运行</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完成</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按计划完成空间平台一期的开发和部署，因省厅未批准空间规划，系统功能尚未实现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指标3：</w:t>
            </w:r>
          </w:p>
          <w:p>
            <w:pPr>
              <w:rPr>
                <w:rFonts w:hint="default" w:eastAsia="Times New Roman"/>
                <w:kern w:val="0"/>
                <w:sz w:val="21"/>
              </w:rPr>
            </w:pPr>
            <w:r>
              <w:rPr>
                <w:rFonts w:hint="eastAsia" w:ascii="仿宋_GB2312" w:hAnsi="仿宋_GB2312" w:eastAsia="仿宋_GB2312"/>
                <w:kern w:val="0"/>
                <w:sz w:val="21"/>
              </w:rPr>
              <w:t>做好局大楼网络和办公设备维护</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eastAsia" w:ascii="仿宋_GB2312" w:hAnsi="仿宋_GB2312" w:eastAsia="仿宋_GB2312"/>
                <w:kern w:val="0"/>
                <w:sz w:val="21"/>
              </w:rPr>
            </w:pPr>
            <w:r>
              <w:rPr>
                <w:rFonts w:hint="eastAsia" w:ascii="仿宋_GB2312" w:hAnsi="仿宋_GB2312" w:eastAsia="仿宋_GB2312"/>
                <w:kern w:val="0"/>
                <w:sz w:val="21"/>
              </w:rPr>
              <w:t>稳定运行</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eastAsia" w:ascii="仿宋_GB2312" w:hAnsi="仿宋_GB2312" w:eastAsia="仿宋_GB2312"/>
                <w:kern w:val="0"/>
                <w:sz w:val="21"/>
              </w:rPr>
            </w:pPr>
            <w:r>
              <w:rPr>
                <w:rFonts w:hint="eastAsia" w:ascii="仿宋_GB2312" w:hAnsi="仿宋_GB2312" w:eastAsia="仿宋_GB2312"/>
                <w:kern w:val="0"/>
                <w:sz w:val="21"/>
              </w:rPr>
              <w:t>完成</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继续做好系统维护工作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指标4：</w:t>
            </w:r>
          </w:p>
          <w:p>
            <w:pPr>
              <w:rPr>
                <w:rFonts w:hint="default" w:eastAsia="Times New Roman"/>
                <w:kern w:val="0"/>
                <w:sz w:val="21"/>
              </w:rPr>
            </w:pPr>
            <w:r>
              <w:rPr>
                <w:rFonts w:hint="eastAsia" w:ascii="仿宋_GB2312" w:hAnsi="仿宋_GB2312" w:eastAsia="仿宋_GB2312"/>
                <w:kern w:val="0"/>
                <w:sz w:val="21"/>
              </w:rPr>
              <w:t>保障自然资源信息系统和网络安全</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eastAsia" w:ascii="仿宋_GB2312" w:hAnsi="仿宋_GB2312" w:eastAsia="仿宋_GB2312"/>
                <w:kern w:val="0"/>
                <w:sz w:val="21"/>
              </w:rPr>
            </w:pPr>
            <w:r>
              <w:rPr>
                <w:rFonts w:hint="eastAsia" w:ascii="仿宋_GB2312" w:hAnsi="仿宋_GB2312" w:eastAsia="仿宋_GB2312"/>
                <w:kern w:val="0"/>
                <w:sz w:val="21"/>
              </w:rPr>
              <w:t>安全无事故</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eastAsia" w:ascii="仿宋_GB2312" w:hAnsi="仿宋_GB2312" w:eastAsia="仿宋_GB2312"/>
                <w:kern w:val="0"/>
                <w:sz w:val="21"/>
              </w:rPr>
            </w:pPr>
            <w:r>
              <w:rPr>
                <w:rFonts w:hint="eastAsia" w:ascii="仿宋_GB2312" w:hAnsi="仿宋_GB2312" w:eastAsia="仿宋_GB2312"/>
                <w:kern w:val="0"/>
                <w:sz w:val="21"/>
              </w:rPr>
              <w:t>完成</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eastAsia" w:ascii="仿宋_GB2312" w:hAnsi="仿宋_GB2312" w:eastAsia="仿宋_GB2312"/>
                <w:kern w:val="0"/>
                <w:sz w:val="21"/>
              </w:rPr>
            </w:pPr>
            <w:r>
              <w:rPr>
                <w:rFonts w:hint="eastAsia" w:ascii="仿宋_GB2312" w:hAnsi="仿宋_GB2312" w:eastAsia="仿宋_GB2312"/>
                <w:kern w:val="0"/>
                <w:sz w:val="21"/>
              </w:rPr>
              <w:t>5</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继续做好三级等保测评、网络安全服务等信息化基础运维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7"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eastAsia="Times New Roman"/>
                <w:kern w:val="0"/>
                <w:sz w:val="21"/>
              </w:rPr>
            </w:pPr>
            <w:r>
              <w:rPr>
                <w:rFonts w:hint="eastAsia" w:ascii="仿宋_GB2312" w:hAnsi="仿宋_GB2312" w:eastAsia="仿宋_GB2312"/>
                <w:kern w:val="0"/>
                <w:sz w:val="21"/>
              </w:rPr>
              <w:t>指标5：做好政务信息网上公开</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做好网上政务公开</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更新政务信息约2652条</w:t>
            </w:r>
            <w:r>
              <w:rPr>
                <w:rFonts w:hint="eastAsia" w:ascii="仿宋" w:hAnsi="仿宋" w:eastAsia="仿宋"/>
                <w:spacing w:val="-16"/>
                <w:sz w:val="21"/>
              </w:rPr>
              <w:t>.</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kern w:val="0"/>
                <w:sz w:val="21"/>
              </w:rPr>
            </w:pPr>
            <w:r>
              <w:rPr>
                <w:rFonts w:hint="default"/>
                <w:kern w:val="0"/>
                <w:sz w:val="21"/>
              </w:rPr>
              <w:t>5</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持续做好网上政务信息公开工作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质量目标</w:t>
            </w: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eastAsia="Times New Roman"/>
                <w:kern w:val="0"/>
                <w:sz w:val="21"/>
              </w:rPr>
            </w:pPr>
            <w:r>
              <w:rPr>
                <w:rFonts w:hint="eastAsia" w:ascii="仿宋" w:hAnsi="仿宋" w:eastAsia="仿宋"/>
                <w:spacing w:val="-16"/>
                <w:sz w:val="21"/>
              </w:rPr>
              <w:t>完成工作合格率达95%以上。</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95%</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100%</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继续围绕省、市关于数字化改革有关工作要求，开展信息化建设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时效目标</w:t>
            </w: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2020年度项目进度计划完成率95以上。</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95%</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95%</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提前编制工作计划，按时完成项目进度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成本目标</w:t>
            </w: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项目总费用控制在预算内</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9</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6.88</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15</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12</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因局内工作任务较多，外出学习考察调研偏少，造成预算执行率偏低，下步将提前制定计划，合理安排学习调研计划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效益指标（</w:t>
            </w:r>
            <w:r>
              <w:rPr>
                <w:rFonts w:hint="default" w:eastAsia="仿宋_GB2312"/>
                <w:kern w:val="0"/>
                <w:sz w:val="21"/>
              </w:rPr>
              <w:t>30</w:t>
            </w:r>
            <w:r>
              <w:rPr>
                <w:rFonts w:hint="eastAsia" w:eastAsia="仿宋_GB2312"/>
                <w:kern w:val="0"/>
                <w:sz w:val="21"/>
              </w:rPr>
              <w:t>分）</w:t>
            </w:r>
          </w:p>
        </w:tc>
        <w:tc>
          <w:tcPr>
            <w:tcW w:w="1116" w:type="dxa"/>
            <w:vMerge w:val="restart"/>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社会效益</w:t>
            </w: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指标1：充分发挥信息化功能，为重点工程项目提供数据共享。</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加强自然资源数据汇交与共享利用</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提供数据共享约42.8G</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10</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加强信息系统的对接，实现数据自动更新。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rPr>
                <w:rFonts w:hint="eastAsia" w:ascii="仿宋_GB2312" w:hAnsi="仿宋_GB2312" w:eastAsia="仿宋_GB2312"/>
                <w:kern w:val="0"/>
                <w:sz w:val="21"/>
              </w:rPr>
            </w:pPr>
            <w:r>
              <w:rPr>
                <w:rFonts w:hint="eastAsia" w:ascii="仿宋_GB2312" w:hAnsi="仿宋_GB2312" w:eastAsia="仿宋_GB2312"/>
                <w:kern w:val="0"/>
                <w:sz w:val="21"/>
              </w:rPr>
              <w:t>指标2：对不动产属性数据库进行定期的离线备份和安全保障。</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保障了不动产数据的安全稳定。</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完成</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10</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继续加强不动产数据的安全保障</w:t>
            </w:r>
          </w:p>
          <w:p>
            <w:pPr>
              <w:rPr>
                <w:rFonts w:hint="eastAsia" w:ascii="仿宋_GB2312" w:hAnsi="仿宋_GB2312" w:eastAsia="仿宋_GB2312"/>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rPr>
                <w:rFonts w:hint="eastAsia" w:ascii="仿宋_GB2312" w:hAnsi="仿宋_GB2312" w:eastAsia="仿宋_GB2312"/>
                <w:kern w:val="0"/>
                <w:sz w:val="21"/>
              </w:rPr>
            </w:pPr>
            <w:r>
              <w:rPr>
                <w:rFonts w:hint="eastAsia" w:ascii="仿宋_GB2312" w:hAnsi="仿宋_GB2312" w:eastAsia="仿宋_GB2312"/>
                <w:kern w:val="0"/>
                <w:sz w:val="21"/>
              </w:rPr>
              <w:t>指标3：积极协助开展政务服务事项梳理维护。</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保障政务服务“掌上办”‘网上办’，方便群众。</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完成</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10</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仿宋_GB2312" w:hAnsi="仿宋_GB2312" w:eastAsia="仿宋_GB2312"/>
                <w:kern w:val="0"/>
                <w:sz w:val="21"/>
              </w:rPr>
            </w:pPr>
            <w:r>
              <w:rPr>
                <w:rFonts w:hint="eastAsia" w:ascii="仿宋_GB2312" w:hAnsi="仿宋_GB2312" w:eastAsia="仿宋_GB2312"/>
                <w:kern w:val="0"/>
                <w:sz w:val="21"/>
              </w:rPr>
              <w:t>继续做好政务服务事项信息维护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经济效益</w:t>
            </w: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不产生经济效益。</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不直接产生</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1"/>
              </w:rPr>
              <w:t>0</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1"/>
              </w:rPr>
              <w:t>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其它效益（环境效益、可持续影响等）</w:t>
            </w:r>
          </w:p>
        </w:tc>
        <w:tc>
          <w:tcPr>
            <w:tcW w:w="16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无直接影响。</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无直接影响</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1"/>
              </w:rPr>
              <w:t>0</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1"/>
              </w:rPr>
              <w:t>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满意度指标（</w:t>
            </w:r>
            <w:r>
              <w:rPr>
                <w:rFonts w:hint="default" w:eastAsia="仿宋_GB2312"/>
                <w:kern w:val="0"/>
                <w:sz w:val="21"/>
              </w:rPr>
              <w:t>10</w:t>
            </w:r>
            <w:r>
              <w:rPr>
                <w:rFonts w:hint="eastAsia" w:eastAsia="仿宋_GB2312"/>
                <w:kern w:val="0"/>
                <w:sz w:val="21"/>
              </w:rPr>
              <w:t>分）</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服务对象满意度</w:t>
            </w:r>
          </w:p>
        </w:tc>
        <w:tc>
          <w:tcPr>
            <w:tcW w:w="1642" w:type="dxa"/>
            <w:gridSpan w:val="2"/>
            <w:tcBorders>
              <w:top w:val="single" w:color="000000" w:sz="4" w:space="0"/>
              <w:left w:val="single" w:color="auto"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服务对象满意度达</w:t>
            </w:r>
            <w:r>
              <w:rPr>
                <w:rFonts w:hint="default"/>
                <w:kern w:val="0"/>
                <w:sz w:val="21"/>
              </w:rPr>
              <w:t>90%</w:t>
            </w:r>
            <w:r>
              <w:rPr>
                <w:rFonts w:hint="eastAsia"/>
                <w:kern w:val="0"/>
                <w:sz w:val="21"/>
              </w:rPr>
              <w:t>以上</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100%</w:t>
            </w:r>
          </w:p>
        </w:tc>
        <w:tc>
          <w:tcPr>
            <w:tcW w:w="1000"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100%</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357"/>
              </w:tabs>
              <w:topLinePunct/>
              <w:spacing w:line="240" w:lineRule="exact"/>
              <w:jc w:val="left"/>
              <w:rPr>
                <w:rFonts w:hint="default" w:eastAsia="Times New Roman"/>
                <w:kern w:val="0"/>
                <w:sz w:val="21"/>
              </w:rPr>
            </w:pPr>
            <w:r>
              <w:rPr>
                <w:rFonts w:hint="default"/>
                <w:kern w:val="0"/>
                <w:sz w:val="21"/>
              </w:rPr>
              <w:t>10</w:t>
            </w:r>
            <w:r>
              <w:rPr>
                <w:rFonts w:hint="default" w:eastAsia="Times New Roman"/>
                <w:kern w:val="0"/>
                <w:sz w:val="21"/>
              </w:rPr>
              <w:tab/>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坚持以用户需求为导向，做好信息化支撑服务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648" w:type="dxa"/>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执行率指标（</w:t>
            </w:r>
            <w:r>
              <w:rPr>
                <w:rFonts w:hint="default" w:eastAsia="仿宋_GB2312"/>
                <w:kern w:val="0"/>
                <w:sz w:val="21"/>
              </w:rPr>
              <w:t>10</w:t>
            </w:r>
            <w:r>
              <w:rPr>
                <w:rFonts w:hint="eastAsia" w:eastAsia="仿宋_GB2312"/>
                <w:kern w:val="0"/>
                <w:sz w:val="21"/>
              </w:rPr>
              <w:t>分）</w:t>
            </w:r>
          </w:p>
        </w:tc>
        <w:tc>
          <w:tcPr>
            <w:tcW w:w="4703" w:type="dxa"/>
            <w:gridSpan w:val="6"/>
            <w:tcBorders>
              <w:top w:val="single" w:color="auto" w:sz="4" w:space="0"/>
              <w:left w:val="single" w:color="auto" w:sz="4" w:space="0"/>
              <w:bottom w:val="single" w:color="auto" w:sz="4" w:space="0"/>
              <w:right w:val="single" w:color="000000" w:sz="4" w:space="0"/>
              <w:tl2br w:val="nil"/>
              <w:tr2bl w:val="nil"/>
            </w:tcBorders>
            <w:vAlign w:val="center"/>
          </w:tcPr>
          <w:p>
            <w:pPr>
              <w:topLinePunct/>
              <w:spacing w:line="240" w:lineRule="exact"/>
              <w:rPr>
                <w:rFonts w:hint="default" w:eastAsia="仿宋_GB2312"/>
                <w:kern w:val="0"/>
                <w:sz w:val="21"/>
              </w:rPr>
            </w:pPr>
            <w:r>
              <w:rPr>
                <w:rFonts w:hint="eastAsia" w:eastAsia="仿宋_GB2312"/>
                <w:kern w:val="0"/>
                <w:sz w:val="21"/>
              </w:rPr>
              <w:t>资金执行率：</w:t>
            </w:r>
          </w:p>
          <w:p>
            <w:pPr>
              <w:topLinePunct/>
              <w:spacing w:line="240" w:lineRule="exact"/>
              <w:jc w:val="center"/>
              <w:rPr>
                <w:rFonts w:hint="default" w:eastAsia="Times New Roman"/>
                <w:kern w:val="0"/>
                <w:sz w:val="21"/>
              </w:rPr>
            </w:pPr>
            <w:r>
              <w:rPr>
                <w:rFonts w:hint="eastAsia" w:eastAsia="仿宋_GB2312"/>
                <w:kern w:val="0"/>
                <w:sz w:val="21"/>
              </w:rPr>
              <w:t>（计算方式：执行率自评得分</w:t>
            </w:r>
            <w:r>
              <w:rPr>
                <w:rFonts w:hint="default" w:eastAsia="仿宋_GB2312"/>
                <w:kern w:val="0"/>
                <w:sz w:val="22"/>
              </w:rPr>
              <w:t>=</w:t>
            </w:r>
            <w:r>
              <w:rPr>
                <w:rFonts w:hint="eastAsia" w:eastAsia="仿宋_GB2312"/>
                <w:kern w:val="0"/>
                <w:sz w:val="21"/>
              </w:rPr>
              <w:t>资金执行率</w:t>
            </w:r>
            <w:r>
              <w:rPr>
                <w:rFonts w:hint="default" w:eastAsia="仿宋_GB2312"/>
                <w:kern w:val="0"/>
                <w:sz w:val="22"/>
              </w:rPr>
              <w:t>*</w:t>
            </w:r>
            <w:r>
              <w:rPr>
                <w:rFonts w:hint="default" w:eastAsia="仿宋_GB2312"/>
                <w:kern w:val="0"/>
                <w:sz w:val="21"/>
              </w:rPr>
              <w:t>10</w:t>
            </w:r>
            <w:r>
              <w:rPr>
                <w:rFonts w:hint="eastAsia" w:eastAsia="仿宋_GB2312"/>
                <w:kern w:val="0"/>
                <w:sz w:val="21"/>
              </w:rPr>
              <w:t>）</w:t>
            </w:r>
          </w:p>
        </w:tc>
        <w:tc>
          <w:tcPr>
            <w:tcW w:w="633"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56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357"/>
              </w:tabs>
              <w:topLinePunct/>
              <w:spacing w:line="240" w:lineRule="exact"/>
              <w:jc w:val="left"/>
              <w:rPr>
                <w:rFonts w:hint="default"/>
                <w:kern w:val="0"/>
                <w:sz w:val="21"/>
              </w:rPr>
            </w:pPr>
            <w:r>
              <w:rPr>
                <w:rFonts w:hint="default"/>
                <w:kern w:val="0"/>
                <w:sz w:val="21"/>
              </w:rPr>
              <w:t>7</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eastAsia="Times New Roman"/>
                <w:kern w:val="0"/>
                <w:sz w:val="21"/>
              </w:rPr>
            </w:pPr>
            <w:r>
              <w:rPr>
                <w:rFonts w:hint="eastAsia" w:ascii="仿宋_GB2312" w:hAnsi="仿宋_GB2312" w:eastAsia="仿宋_GB2312"/>
                <w:kern w:val="0"/>
                <w:sz w:val="21"/>
              </w:rPr>
              <w:t>信息化工作需要学习新技术、拓宽新思路，需要持续性的学习和调研，2020年事业单位改革完成以及疫情缓解后，我中心将做好队伍建设和人才培养计划，安排中心工作人员多学习考察，并加强对县市区信息化建设的指导以及乡镇所的三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tcBorders>
              <w:top w:val="nil"/>
              <w:left w:val="single" w:color="000000" w:sz="4" w:space="0"/>
              <w:bottom w:val="single" w:color="auto" w:sz="4" w:space="0"/>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5923" w:type="dxa"/>
            <w:gridSpan w:val="9"/>
            <w:tcBorders>
              <w:top w:val="single" w:color="000000" w:sz="4" w:space="0"/>
              <w:left w:val="single" w:color="000000" w:sz="4" w:space="0"/>
              <w:bottom w:val="single" w:color="auto"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总分</w:t>
            </w:r>
          </w:p>
        </w:tc>
        <w:tc>
          <w:tcPr>
            <w:tcW w:w="633" w:type="dxa"/>
            <w:tcBorders>
              <w:top w:val="single" w:color="000000" w:sz="4" w:space="0"/>
              <w:left w:val="single" w:color="000000" w:sz="4" w:space="0"/>
              <w:bottom w:val="single" w:color="auto"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100</w:t>
            </w:r>
          </w:p>
        </w:tc>
        <w:tc>
          <w:tcPr>
            <w:tcW w:w="568"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357"/>
              </w:tabs>
              <w:topLinePunct/>
              <w:spacing w:line="240" w:lineRule="exact"/>
              <w:jc w:val="left"/>
              <w:rPr>
                <w:rFonts w:hint="default"/>
                <w:kern w:val="0"/>
                <w:sz w:val="21"/>
              </w:rPr>
            </w:pPr>
            <w:r>
              <w:rPr>
                <w:rFonts w:hint="default"/>
                <w:kern w:val="0"/>
                <w:sz w:val="21"/>
              </w:rPr>
              <w:t>92</w:t>
            </w:r>
          </w:p>
        </w:tc>
        <w:tc>
          <w:tcPr>
            <w:tcW w:w="1808" w:type="dxa"/>
            <w:tcBorders>
              <w:top w:val="single" w:color="000000" w:sz="4" w:space="0"/>
              <w:left w:val="single" w:color="000000" w:sz="4" w:space="0"/>
              <w:bottom w:val="single" w:color="auto" w:sz="4" w:space="0"/>
              <w:right w:val="single" w:color="000000" w:sz="4" w:space="0"/>
              <w:tl2br w:val="nil"/>
              <w:tr2bl w:val="nil"/>
            </w:tcBorders>
            <w:vAlign w:val="center"/>
          </w:tcPr>
          <w:p>
            <w:pPr>
              <w:topLinePunct/>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4"/>
              </w:rPr>
              <w:t>评价结果</w:t>
            </w:r>
          </w:p>
        </w:tc>
        <w:tc>
          <w:tcPr>
            <w:tcW w:w="5437" w:type="dxa"/>
            <w:gridSpan w:val="8"/>
            <w:tcBorders>
              <w:top w:val="single" w:color="auto" w:sz="4" w:space="0"/>
              <w:left w:val="single" w:color="auto" w:sz="4" w:space="0"/>
              <w:bottom w:val="single" w:color="auto"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eastAsia="仿宋_GB2312"/>
                <w:sz w:val="24"/>
              </w:rPr>
              <w:t>优：</w:t>
            </w:r>
            <w:r>
              <w:rPr>
                <w:rFonts w:hint="default" w:eastAsia="仿宋_GB2312"/>
                <w:sz w:val="24"/>
              </w:rPr>
              <w:t>90</w:t>
            </w:r>
            <w:r>
              <w:rPr>
                <w:rFonts w:hint="eastAsia" w:eastAsia="仿宋_GB2312"/>
                <w:sz w:val="24"/>
              </w:rPr>
              <w:t>分≤得分≤</w:t>
            </w:r>
            <w:r>
              <w:rPr>
                <w:rFonts w:hint="default" w:eastAsia="仿宋_GB2312"/>
                <w:sz w:val="24"/>
              </w:rPr>
              <w:t>100</w:t>
            </w:r>
            <w:r>
              <w:rPr>
                <w:rFonts w:hint="eastAsia" w:eastAsia="仿宋_GB2312"/>
                <w:sz w:val="24"/>
              </w:rPr>
              <w:t>分；良：</w:t>
            </w:r>
            <w:r>
              <w:rPr>
                <w:rFonts w:hint="default" w:eastAsia="仿宋_GB2312"/>
                <w:sz w:val="24"/>
              </w:rPr>
              <w:t>80</w:t>
            </w:r>
            <w:r>
              <w:rPr>
                <w:rFonts w:hint="eastAsia" w:eastAsia="仿宋_GB2312"/>
                <w:sz w:val="24"/>
              </w:rPr>
              <w:t>分≤得分</w:t>
            </w:r>
            <w:r>
              <w:rPr>
                <w:rFonts w:hint="default" w:eastAsia="仿宋_GB2312"/>
                <w:sz w:val="24"/>
              </w:rPr>
              <w:t>&lt;90</w:t>
            </w:r>
            <w:r>
              <w:rPr>
                <w:rFonts w:hint="eastAsia" w:eastAsia="仿宋_GB2312"/>
                <w:sz w:val="24"/>
              </w:rPr>
              <w:t>分；中：</w:t>
            </w:r>
            <w:r>
              <w:rPr>
                <w:rFonts w:hint="default" w:eastAsia="仿宋_GB2312"/>
                <w:sz w:val="24"/>
              </w:rPr>
              <w:t>60</w:t>
            </w:r>
            <w:r>
              <w:rPr>
                <w:rFonts w:hint="eastAsia" w:eastAsia="仿宋_GB2312"/>
                <w:sz w:val="24"/>
              </w:rPr>
              <w:t>分≤得分</w:t>
            </w:r>
            <w:r>
              <w:rPr>
                <w:rFonts w:hint="default" w:eastAsia="仿宋_GB2312"/>
                <w:sz w:val="24"/>
              </w:rPr>
              <w:t>&lt;80</w:t>
            </w:r>
            <w:r>
              <w:rPr>
                <w:rFonts w:hint="eastAsia" w:eastAsia="仿宋_GB2312"/>
                <w:sz w:val="24"/>
              </w:rPr>
              <w:t>分；差：得分</w:t>
            </w:r>
            <w:r>
              <w:rPr>
                <w:rFonts w:hint="default" w:eastAsia="仿宋_GB2312"/>
                <w:sz w:val="24"/>
              </w:rPr>
              <w:t>&lt;60</w:t>
            </w:r>
            <w:r>
              <w:rPr>
                <w:rFonts w:hint="eastAsia" w:eastAsia="仿宋_GB2312"/>
                <w:sz w:val="24"/>
              </w:rPr>
              <w:t>分</w:t>
            </w:r>
          </w:p>
        </w:tc>
        <w:tc>
          <w:tcPr>
            <w:tcW w:w="568"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357"/>
              </w:tabs>
              <w:topLinePunct/>
              <w:spacing w:line="240" w:lineRule="exact"/>
              <w:jc w:val="left"/>
              <w:rPr>
                <w:rFonts w:hint="default" w:eastAsia="Times New Roman"/>
                <w:kern w:val="0"/>
                <w:sz w:val="21"/>
              </w:rPr>
            </w:pPr>
            <w:r>
              <w:rPr>
                <w:rFonts w:hint="eastAsia"/>
                <w:kern w:val="0"/>
                <w:sz w:val="21"/>
              </w:rPr>
              <w:t>优</w:t>
            </w:r>
          </w:p>
        </w:tc>
        <w:tc>
          <w:tcPr>
            <w:tcW w:w="1808" w:type="dxa"/>
            <w:tcBorders>
              <w:top w:val="single" w:color="auto" w:sz="4" w:space="0"/>
              <w:left w:val="single" w:color="000000" w:sz="4" w:space="0"/>
              <w:bottom w:val="single" w:color="auto" w:sz="4" w:space="0"/>
              <w:right w:val="single" w:color="auto"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4"/>
              </w:rPr>
              <w:t>-</w:t>
            </w:r>
          </w:p>
        </w:tc>
      </w:tr>
    </w:tbl>
    <w:p>
      <w:pPr>
        <w:rPr>
          <w:rFonts w:hint="default" w:eastAsia="Times New Roman"/>
          <w:sz w:val="21"/>
        </w:rPr>
      </w:pP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2、信息化运行维护经费项目自评结果。</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1、信息化运行维护经费项目绩效自评综述：根据年初设定的绩效目标，项目自评得分95分，自评结论为“优”。项目全年预算数为5万元，执行数为4.21万元，完成预算的84.2%。项目绩效目标完成情况</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一是推进空间基础信息平台一期建设。在完成空间平台1个市级数据仓、7个县级分仓的建设的成果上，为正在建设的国土空间规划一张图实施监督系统提供空间应用服务，包括数据服务71项，数据接口10个，为金华市公共数据平台提供服务接口116个，通用接口4个，空间基础信息平台数据中台作用初步显现。二是完成年度其他电子政务项目建设。2020年市局主要完成了局机房改造及设备搬迁项目、网络安全检测服务项目、OA系统整合迁云项目、自然资源信息化顶层设计、硬件设备维保及网络运维、网站运行维护、信息系统三级等保测评等建设内容。三是全力保障市局门户网站、OA系统、不动产登记、空间平台等系统的正常运行，积极及时解决排除故障隐患；保障机关单位电脑和网络正常运行，累计处理各类电脑、网络、打印机、光纤等故障千余人次；保障局视频会议45次。发现的问题及原因：一是网络安全形势严峻。在政府数字化转型背景下，数据和网络信息安全成为瓶颈，安全防护能力需要不断增强。二是资金保障问题。近年来，新建项目资金保障难度大，信息化购买服务能力相当贫乏。下一步改进措施：一是完善信息化机制建设。完善出台信息网络安全、数据管理制度文件，为进一步落实网络安全责任制，出台《金华市网络安全管理制度》，为进一步规范统一数据资源管理，出台《金华市自然资源数据管理办法》。二是继续推进政府数字化转型各项工作，包括政务2.0深化完善、互联网+监管应用、市不动产智慧平台建设等，以数字赋能支撑数字资规改革创新。三是加强信息化队伍建设。建立健全信息化综合人才培养，加强队伍人员的培训，提升队伍业务水平能力，保障信息化建设的可持续发展。</w:t>
      </w:r>
    </w:p>
    <w:p>
      <w:pPr>
        <w:snapToGrid w:val="0"/>
        <w:spacing w:line="500" w:lineRule="exact"/>
        <w:rPr>
          <w:rFonts w:hint="eastAsia" w:ascii="黑体" w:hAnsi="黑体" w:eastAsia="黑体"/>
          <w:sz w:val="32"/>
        </w:rPr>
      </w:pPr>
    </w:p>
    <w:p>
      <w:pPr>
        <w:snapToGrid w:val="0"/>
        <w:spacing w:line="500" w:lineRule="exact"/>
        <w:rPr>
          <w:rFonts w:hint="eastAsia" w:ascii="黑体" w:hAnsi="黑体" w:eastAsia="黑体"/>
          <w:sz w:val="32"/>
        </w:rPr>
      </w:pPr>
      <w:r>
        <w:rPr>
          <w:rFonts w:hint="eastAsia" w:ascii="黑体" w:hAnsi="黑体" w:eastAsia="黑体"/>
          <w:sz w:val="32"/>
        </w:rPr>
        <w:t>附件1</w:t>
      </w:r>
    </w:p>
    <w:p>
      <w:pPr>
        <w:spacing w:line="560" w:lineRule="exact"/>
        <w:jc w:val="center"/>
        <w:rPr>
          <w:rFonts w:hint="default" w:eastAsia="Times New Roman"/>
          <w:kern w:val="0"/>
          <w:sz w:val="44"/>
        </w:rPr>
      </w:pPr>
      <w:r>
        <w:rPr>
          <w:rFonts w:hint="eastAsia" w:ascii="宋体" w:hAnsi="宋体"/>
          <w:kern w:val="0"/>
          <w:sz w:val="44"/>
        </w:rPr>
        <w:t>金华市本级项目支出绩效自评表</w:t>
      </w:r>
    </w:p>
    <w:p>
      <w:pPr>
        <w:spacing w:line="560" w:lineRule="exact"/>
        <w:jc w:val="center"/>
        <w:rPr>
          <w:rFonts w:hint="default" w:ascii="???????" w:eastAsia="Times New Roman"/>
          <w:kern w:val="0"/>
          <w:sz w:val="40"/>
        </w:rPr>
      </w:pPr>
      <w:r>
        <w:rPr>
          <w:rFonts w:hint="eastAsia" w:ascii="???????" w:hAnsi="???????"/>
          <w:kern w:val="0"/>
          <w:sz w:val="40"/>
        </w:rPr>
        <w:t>（</w:t>
      </w:r>
      <w:r>
        <w:rPr>
          <w:rFonts w:hint="default" w:ascii="???????" w:hAnsi="???????"/>
          <w:kern w:val="0"/>
          <w:sz w:val="40"/>
        </w:rPr>
        <w:t>2020</w:t>
      </w:r>
      <w:r>
        <w:rPr>
          <w:rFonts w:hint="eastAsia" w:ascii="???????" w:hAnsi="???????"/>
          <w:kern w:val="0"/>
          <w:sz w:val="40"/>
        </w:rPr>
        <w:t>年度）</w:t>
      </w:r>
    </w:p>
    <w:p>
      <w:pPr>
        <w:spacing w:line="560" w:lineRule="exact"/>
        <w:rPr>
          <w:rFonts w:hint="default" w:eastAsia="仿宋_GB2312"/>
          <w:kern w:val="0"/>
          <w:sz w:val="24"/>
        </w:rPr>
      </w:pPr>
      <w:r>
        <w:rPr>
          <w:rFonts w:hint="eastAsia" w:eastAsia="仿宋_GB2312"/>
          <w:kern w:val="0"/>
          <w:sz w:val="24"/>
        </w:rPr>
        <w:t>实施单位（盖章）：金华市自然资源和规划信息中心</w:t>
      </w:r>
    </w:p>
    <w:tbl>
      <w:tblPr>
        <w:tblStyle w:val="5"/>
        <w:tblW w:w="95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972"/>
        <w:gridCol w:w="147"/>
        <w:gridCol w:w="101"/>
        <w:gridCol w:w="1116"/>
        <w:gridCol w:w="376"/>
        <w:gridCol w:w="1350"/>
        <w:gridCol w:w="460"/>
        <w:gridCol w:w="706"/>
        <w:gridCol w:w="784"/>
        <w:gridCol w:w="627"/>
        <w:gridCol w:w="485"/>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项目名称</w:t>
            </w:r>
          </w:p>
        </w:tc>
        <w:tc>
          <w:tcPr>
            <w:tcW w:w="7960" w:type="dxa"/>
            <w:gridSpan w:val="11"/>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信息化运行维护经费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金华市自然资源和规划局</w:t>
            </w:r>
          </w:p>
        </w:tc>
        <w:tc>
          <w:tcPr>
            <w:tcW w:w="2117"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金华市自然资源和规划信息中心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起止时间</w:t>
            </w:r>
          </w:p>
        </w:tc>
        <w:tc>
          <w:tcPr>
            <w:tcW w:w="7960" w:type="dxa"/>
            <w:gridSpan w:val="11"/>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2020.01.01-2020.12.31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2516"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年初预算数</w:t>
            </w:r>
          </w:p>
        </w:tc>
        <w:tc>
          <w:tcPr>
            <w:tcW w:w="1411"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left"/>
              <w:rPr>
                <w:rFonts w:hint="default" w:eastAsia="仿宋_GB2312"/>
                <w:sz w:val="24"/>
              </w:rPr>
            </w:pPr>
            <w:r>
              <w:rPr>
                <w:rFonts w:hint="eastAsia" w:eastAsia="仿宋_GB2312"/>
                <w:sz w:val="24"/>
              </w:rPr>
              <w:t>年度资金总额</w:t>
            </w:r>
          </w:p>
        </w:tc>
        <w:tc>
          <w:tcPr>
            <w:tcW w:w="2516"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4"/>
              </w:rPr>
            </w:pPr>
            <w:r>
              <w:rPr>
                <w:rFonts w:hint="default" w:eastAsia="仿宋_GB2312"/>
                <w:sz w:val="24"/>
              </w:rPr>
              <w:t>5</w:t>
            </w:r>
          </w:p>
        </w:tc>
        <w:tc>
          <w:tcPr>
            <w:tcW w:w="1411"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4"/>
              </w:rPr>
            </w:pPr>
            <w:r>
              <w:rPr>
                <w:rFonts w:hint="default" w:eastAsia="仿宋_GB2312"/>
                <w:sz w:val="24"/>
              </w:rPr>
              <w:t>5</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topLinePunct/>
              <w:spacing w:line="240" w:lineRule="exact"/>
              <w:ind w:firstLine="240" w:firstLineChars="100"/>
              <w:rPr>
                <w:rFonts w:hint="default" w:eastAsia="仿宋_GB2312"/>
                <w:kern w:val="0"/>
                <w:sz w:val="24"/>
              </w:rPr>
            </w:pPr>
            <w:r>
              <w:rPr>
                <w:rFonts w:hint="eastAsia" w:eastAsia="仿宋_GB2312"/>
                <w:kern w:val="0"/>
                <w:sz w:val="24"/>
              </w:rPr>
              <w:t>其中：市本级</w:t>
            </w:r>
          </w:p>
          <w:p>
            <w:pPr>
              <w:topLinePunct/>
              <w:spacing w:line="240" w:lineRule="exact"/>
              <w:jc w:val="right"/>
              <w:rPr>
                <w:rFonts w:hint="default" w:eastAsia="仿宋_GB2312"/>
                <w:kern w:val="0"/>
                <w:sz w:val="24"/>
              </w:rPr>
            </w:pPr>
            <w:r>
              <w:rPr>
                <w:rFonts w:hint="eastAsia" w:eastAsia="仿宋_GB2312"/>
                <w:kern w:val="0"/>
                <w:sz w:val="24"/>
              </w:rPr>
              <w:t>安排资金</w:t>
            </w:r>
          </w:p>
        </w:tc>
        <w:tc>
          <w:tcPr>
            <w:tcW w:w="2516" w:type="dxa"/>
            <w:gridSpan w:val="3"/>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5</w:t>
            </w:r>
          </w:p>
        </w:tc>
        <w:tc>
          <w:tcPr>
            <w:tcW w:w="1411"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5</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default" w:eastAsia="仿宋_GB2312"/>
                <w:kern w:val="0"/>
                <w:sz w:val="24"/>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年度总体目标</w:t>
            </w:r>
          </w:p>
        </w:tc>
        <w:tc>
          <w:tcPr>
            <w:tcW w:w="5228"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预期目标</w:t>
            </w:r>
          </w:p>
        </w:tc>
        <w:tc>
          <w:tcPr>
            <w:tcW w:w="3704"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7" w:hRule="atLeast"/>
          <w:jc w:val="center"/>
        </w:trPr>
        <w:tc>
          <w:tcPr>
            <w:tcW w:w="648" w:type="dxa"/>
            <w:vMerge w:val="continue"/>
            <w:tcBorders>
              <w:top w:val="nil"/>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5228"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负责市自然资源网络系统的建设和维护，为自然资源和规划局及下属各单位的基础网络设备、市局机关办公设备、信息系统服务器、软件、机房新风系统等设备正常运行维护提供保证。</w:t>
            </w:r>
          </w:p>
        </w:tc>
        <w:tc>
          <w:tcPr>
            <w:tcW w:w="3704"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完成市自然资源网络系统的建设和维护，为自然资源和规划局及下属各单位的基础网络设备、市局机关办公设备、信息系统服务器、软件、机房新风系统等设备正常运行维护提供了保障。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绩</w:t>
            </w:r>
            <w:r>
              <w:rPr>
                <w:rFonts w:hint="default" w:eastAsia="仿宋_GB2312"/>
                <w:kern w:val="0"/>
                <w:sz w:val="24"/>
              </w:rPr>
              <w:t xml:space="preserve"> </w:t>
            </w:r>
            <w:r>
              <w:rPr>
                <w:rFonts w:hint="eastAsia" w:eastAsia="仿宋_GB2312"/>
                <w:kern w:val="0"/>
                <w:sz w:val="24"/>
              </w:rPr>
              <w:t>效</w:t>
            </w:r>
            <w:r>
              <w:rPr>
                <w:rFonts w:hint="default" w:eastAsia="仿宋_GB2312"/>
                <w:kern w:val="0"/>
                <w:sz w:val="24"/>
              </w:rPr>
              <w:t xml:space="preserve"> </w:t>
            </w:r>
            <w:r>
              <w:rPr>
                <w:rFonts w:hint="eastAsia" w:eastAsia="仿宋_GB2312"/>
                <w:kern w:val="0"/>
                <w:sz w:val="24"/>
              </w:rPr>
              <w:t>指</w:t>
            </w:r>
            <w:r>
              <w:rPr>
                <w:rFonts w:hint="default" w:eastAsia="仿宋_GB2312"/>
                <w:kern w:val="0"/>
                <w:sz w:val="24"/>
              </w:rPr>
              <w:t xml:space="preserve"> </w:t>
            </w:r>
            <w:r>
              <w:rPr>
                <w:rFonts w:hint="eastAsia" w:eastAsia="仿宋_GB2312"/>
                <w:kern w:val="0"/>
                <w:sz w:val="24"/>
              </w:rPr>
              <w:t>标</w:t>
            </w:r>
          </w:p>
        </w:tc>
        <w:tc>
          <w:tcPr>
            <w:tcW w:w="122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一级指标</w:t>
            </w:r>
          </w:p>
        </w:tc>
        <w:tc>
          <w:tcPr>
            <w:tcW w:w="1116"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二级指标</w:t>
            </w: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三级指标</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年度指标值</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实际完成值</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权重</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4"/>
              </w:rPr>
              <w:t>得分</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4"/>
              </w:rPr>
            </w:pPr>
            <w:r>
              <w:rPr>
                <w:rFonts w:hint="eastAsia" w:eastAsia="仿宋_GB2312"/>
                <w:kern w:val="0"/>
                <w:sz w:val="20"/>
              </w:rPr>
              <w:t>偏差原因分析及改进措施</w:t>
            </w:r>
            <w:r>
              <w:rPr>
                <w:rFonts w:hint="eastAsia" w:eastAsia="仿宋_GB2312"/>
                <w:b/>
                <w:kern w:val="0"/>
                <w:sz w:val="20"/>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产出指标（</w:t>
            </w:r>
            <w:r>
              <w:rPr>
                <w:rFonts w:hint="default" w:eastAsia="仿宋_GB2312"/>
                <w:kern w:val="0"/>
                <w:sz w:val="21"/>
              </w:rPr>
              <w:t>50</w:t>
            </w:r>
            <w:r>
              <w:rPr>
                <w:rFonts w:hint="eastAsia" w:eastAsia="仿宋_GB2312"/>
                <w:kern w:val="0"/>
                <w:sz w:val="21"/>
              </w:rPr>
              <w:t>分）</w:t>
            </w:r>
          </w:p>
        </w:tc>
        <w:tc>
          <w:tcPr>
            <w:tcW w:w="1116" w:type="dxa"/>
            <w:vMerge w:val="restart"/>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数量目标</w:t>
            </w: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default" w:eastAsia="Times New Roman"/>
                <w:kern w:val="0"/>
                <w:sz w:val="21"/>
              </w:rPr>
            </w:pPr>
            <w:r>
              <w:rPr>
                <w:rFonts w:hint="eastAsia" w:ascii="宋体" w:hAnsi="宋体"/>
                <w:color w:val="000000"/>
                <w:kern w:val="0"/>
                <w:sz w:val="20"/>
              </w:rPr>
              <w:t>指标1：完成局机关办公室调整后的网络、办公设备的调整、维护、普查等工作。</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继续做好信息化运行维护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eastAsia" w:ascii="宋体"/>
                <w:color w:val="000000"/>
                <w:kern w:val="0"/>
                <w:sz w:val="20"/>
              </w:rPr>
            </w:pPr>
            <w:r>
              <w:rPr>
                <w:rFonts w:hint="eastAsia" w:ascii="宋体" w:hAnsi="宋体"/>
                <w:color w:val="000000"/>
                <w:kern w:val="0"/>
                <w:sz w:val="20"/>
              </w:rPr>
              <w:t>指标2：做好机房设备季度巡检。</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kern w:val="0"/>
                <w:sz w:val="21"/>
              </w:rPr>
              <w:t>4</w:t>
            </w:r>
            <w:r>
              <w:rPr>
                <w:rFonts w:hint="eastAsia"/>
                <w:kern w:val="0"/>
                <w:sz w:val="21"/>
              </w:rPr>
              <w:t>次</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继续按季度做好设备巡检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eastAsia" w:ascii="宋体"/>
                <w:color w:val="000000"/>
                <w:kern w:val="0"/>
                <w:sz w:val="20"/>
              </w:rPr>
            </w:pPr>
            <w:r>
              <w:rPr>
                <w:rFonts w:hint="eastAsia" w:ascii="宋体" w:hAnsi="宋体"/>
                <w:color w:val="000000"/>
                <w:kern w:val="0"/>
                <w:sz w:val="20"/>
              </w:rPr>
              <w:t>指标3：市局和下属单位信息化支撑</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继续做好市局和下属单位信息化支撑服务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eastAsia" w:ascii="宋体"/>
                <w:color w:val="000000"/>
                <w:kern w:val="0"/>
                <w:sz w:val="20"/>
              </w:rPr>
            </w:pPr>
            <w:r>
              <w:rPr>
                <w:rFonts w:hint="eastAsia" w:ascii="宋体" w:hAnsi="宋体"/>
                <w:color w:val="000000"/>
                <w:kern w:val="0"/>
                <w:sz w:val="20"/>
              </w:rPr>
              <w:t>指标4：做好其他系统维护工作</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做好信息系统维护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1"/>
              </w:rPr>
            </w:pPr>
          </w:p>
        </w:tc>
        <w:tc>
          <w:tcPr>
            <w:tcW w:w="1116" w:type="dxa"/>
            <w:vMerge w:val="restart"/>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质量目标</w:t>
            </w: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default" w:eastAsia="Times New Roman"/>
                <w:kern w:val="0"/>
                <w:sz w:val="21"/>
              </w:rPr>
            </w:pPr>
            <w:r>
              <w:rPr>
                <w:rFonts w:hint="eastAsia" w:ascii="宋体" w:hAnsi="宋体"/>
                <w:color w:val="000000"/>
                <w:kern w:val="0"/>
                <w:sz w:val="20"/>
              </w:rPr>
              <w:t>1、对不动产属性数据库进行定期的离线备份和安全保障。</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定期备份</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r>
              <w:rPr>
                <w:rFonts w:hint="default"/>
                <w:kern w:val="0"/>
                <w:sz w:val="21"/>
              </w:rPr>
              <w:t>4</w:t>
            </w:r>
            <w:r>
              <w:rPr>
                <w:rFonts w:hint="eastAsia"/>
                <w:kern w:val="0"/>
                <w:sz w:val="21"/>
              </w:rPr>
              <w:t>次</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定期做好每季度不动产数据离线备份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eastAsia" w:ascii="宋体"/>
                <w:color w:val="000000"/>
                <w:kern w:val="0"/>
                <w:sz w:val="20"/>
              </w:rPr>
            </w:pPr>
            <w:r>
              <w:rPr>
                <w:rFonts w:hint="eastAsia" w:ascii="宋体" w:hAnsi="宋体"/>
                <w:color w:val="000000"/>
                <w:kern w:val="0"/>
                <w:sz w:val="20"/>
              </w:rPr>
              <w:t>指标2：积极协助开展政务服务事项梳理维护。</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 w:hAnsi="仿宋" w:eastAsia="仿宋"/>
                <w:spacing w:val="-16"/>
                <w:sz w:val="21"/>
              </w:rPr>
              <w:t>协助行政审批处做好政务服务2.0建设、“互联网+监管”工作改革，“互联网+监管”系统行政执法线上执法的技术保障</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按市局要求完成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eastAsia" w:ascii="宋体"/>
                <w:color w:val="000000"/>
                <w:kern w:val="0"/>
                <w:sz w:val="20"/>
              </w:rPr>
            </w:pPr>
            <w:r>
              <w:rPr>
                <w:rFonts w:hint="eastAsia" w:ascii="宋体" w:hAnsi="宋体"/>
                <w:color w:val="000000"/>
                <w:kern w:val="0"/>
                <w:sz w:val="20"/>
              </w:rPr>
              <w:t>指标3：为自然资源管理工作做好技术支撑。</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 w:hAnsi="仿宋" w:eastAsia="仿宋"/>
                <w:spacing w:val="-16"/>
                <w:sz w:val="21"/>
              </w:rPr>
              <w:t>紧紧围绕市局重点工作和中心工作，积极稳妥的推进信息化建设</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 w:hAnsi="仿宋" w:eastAsia="仿宋"/>
                <w:spacing w:val="-16"/>
                <w:sz w:val="21"/>
              </w:rPr>
              <w:t>继续发挥中心在自然资源管理工作中的技术支撑作用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时效目标</w:t>
            </w: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default" w:eastAsia="Times New Roman"/>
                <w:kern w:val="0"/>
                <w:sz w:val="21"/>
              </w:rPr>
            </w:pPr>
            <w:r>
              <w:rPr>
                <w:rFonts w:hint="eastAsia" w:ascii="宋体" w:hAnsi="宋体"/>
                <w:color w:val="000000"/>
                <w:kern w:val="0"/>
                <w:sz w:val="20"/>
              </w:rPr>
              <w:t>当年项目进度计划完成率达95%以上。</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95%</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84.2%</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4</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根据工作实际情况，及时调整项目进度，力争执行率更精准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成本目标</w:t>
            </w: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top"/>
              <w:rPr>
                <w:rFonts w:hint="default" w:eastAsia="Times New Roman"/>
                <w:kern w:val="0"/>
                <w:sz w:val="21"/>
              </w:rPr>
            </w:pPr>
            <w:r>
              <w:rPr>
                <w:rFonts w:hint="eastAsia" w:ascii="宋体" w:hAnsi="宋体"/>
                <w:color w:val="000000"/>
                <w:kern w:val="0"/>
                <w:sz w:val="20"/>
              </w:rPr>
              <w:t>项目总费用控制在5万元</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5</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4.21</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根据工作实际情况，及时调整项目进度，力争执行率更精准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效益指标（</w:t>
            </w:r>
            <w:r>
              <w:rPr>
                <w:rFonts w:hint="default" w:eastAsia="仿宋_GB2312"/>
                <w:kern w:val="0"/>
                <w:sz w:val="21"/>
              </w:rPr>
              <w:t>30</w:t>
            </w:r>
            <w:r>
              <w:rPr>
                <w:rFonts w:hint="eastAsia" w:eastAsia="仿宋_GB2312"/>
                <w:kern w:val="0"/>
                <w:sz w:val="21"/>
              </w:rPr>
              <w:t>分）</w:t>
            </w:r>
          </w:p>
        </w:tc>
        <w:tc>
          <w:tcPr>
            <w:tcW w:w="1116" w:type="dxa"/>
            <w:vMerge w:val="restart"/>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社会效益</w:t>
            </w: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default" w:eastAsia="Times New Roman"/>
                <w:kern w:val="0"/>
                <w:sz w:val="21"/>
              </w:rPr>
            </w:pPr>
            <w:r>
              <w:rPr>
                <w:rFonts w:hint="eastAsia" w:ascii="宋体" w:hAnsi="宋体"/>
                <w:color w:val="000000"/>
                <w:kern w:val="0"/>
                <w:sz w:val="20"/>
              </w:rPr>
              <w:t>指标1：为自然资源事业发展提供信息保障。</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完成信息化保障服务</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继续提高信息化保障服务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eastAsia" w:ascii="宋体"/>
                <w:color w:val="000000"/>
                <w:kern w:val="0"/>
                <w:sz w:val="20"/>
              </w:rPr>
            </w:pPr>
            <w:r>
              <w:rPr>
                <w:rFonts w:hint="eastAsia" w:ascii="宋体" w:hAnsi="宋体"/>
                <w:color w:val="000000"/>
                <w:kern w:val="0"/>
                <w:sz w:val="20"/>
              </w:rPr>
              <w:t>指标2：对不动产属性数据库进行定期的离线备份和安全保障。</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保障了不动产数据的安全稳定。</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继续加强不动产数据的安全保障</w:t>
            </w:r>
          </w:p>
          <w:p>
            <w:pPr>
              <w:topLinePunct/>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eastAsia" w:ascii="宋体"/>
                <w:color w:val="000000"/>
                <w:kern w:val="0"/>
                <w:sz w:val="20"/>
              </w:rPr>
            </w:pP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eastAsia" w:ascii="宋体"/>
                <w:color w:val="000000"/>
                <w:kern w:val="0"/>
                <w:sz w:val="20"/>
              </w:rPr>
            </w:pPr>
            <w:r>
              <w:rPr>
                <w:rFonts w:hint="eastAsia" w:ascii="宋体" w:hAnsi="宋体"/>
                <w:color w:val="000000"/>
                <w:kern w:val="0"/>
                <w:sz w:val="20"/>
              </w:rPr>
              <w:t>指标3：积极协助开展政务服务事项梳理维护。</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保障政务服务“掌上办”‘网上办’，方便群众。</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完成</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继续做好政务服务事项信息维护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经济效益</w:t>
            </w: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default" w:eastAsia="Times New Roman"/>
                <w:kern w:val="0"/>
                <w:sz w:val="21"/>
              </w:rPr>
            </w:pPr>
            <w:r>
              <w:rPr>
                <w:rFonts w:hint="eastAsia" w:ascii="宋体" w:hAnsi="宋体"/>
                <w:color w:val="000000"/>
                <w:kern w:val="0"/>
                <w:sz w:val="20"/>
              </w:rPr>
              <w:t>本项目实施不产生经济效益。</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无</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1"/>
              </w:rPr>
              <w:t>0</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1"/>
              </w:rPr>
              <w:t>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eastAsia="仿宋_GB2312"/>
                <w:kern w:val="0"/>
                <w:sz w:val="21"/>
              </w:rPr>
            </w:pPr>
            <w:r>
              <w:rPr>
                <w:rFonts w:hint="eastAsia" w:ascii="宋体" w:hAnsi="宋体"/>
                <w:color w:val="000000"/>
                <w:kern w:val="0"/>
                <w:sz w:val="20"/>
              </w:rPr>
              <w:t>其它效益（环境效益、可持续影响等）</w:t>
            </w:r>
          </w:p>
        </w:tc>
        <w:tc>
          <w:tcPr>
            <w:tcW w:w="172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jc w:val="left"/>
              <w:textAlignment w:val="top"/>
              <w:rPr>
                <w:rFonts w:hint="default" w:eastAsia="Times New Roman"/>
                <w:kern w:val="0"/>
                <w:sz w:val="21"/>
              </w:rPr>
            </w:pPr>
            <w:r>
              <w:rPr>
                <w:rFonts w:hint="eastAsia" w:ascii="宋体" w:hAnsi="宋体"/>
                <w:color w:val="000000"/>
                <w:kern w:val="0"/>
                <w:sz w:val="20"/>
              </w:rPr>
              <w:t>本项目实施与环境及可持续影响无直接关系。</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无</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1"/>
              </w:rPr>
              <w:t>0</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1"/>
              </w:rPr>
              <w:t>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满意度指标（</w:t>
            </w:r>
            <w:r>
              <w:rPr>
                <w:rFonts w:hint="default" w:eastAsia="仿宋_GB2312"/>
                <w:kern w:val="0"/>
                <w:sz w:val="21"/>
              </w:rPr>
              <w:t>10</w:t>
            </w:r>
            <w:r>
              <w:rPr>
                <w:rFonts w:hint="eastAsia" w:eastAsia="仿宋_GB2312"/>
                <w:kern w:val="0"/>
                <w:sz w:val="21"/>
              </w:rPr>
              <w:t>分）</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服务对象或相关者满意度</w:t>
            </w:r>
          </w:p>
        </w:tc>
        <w:tc>
          <w:tcPr>
            <w:tcW w:w="1726" w:type="dxa"/>
            <w:gridSpan w:val="2"/>
            <w:tcBorders>
              <w:top w:val="single" w:color="000000" w:sz="4" w:space="0"/>
              <w:left w:val="single" w:color="auto" w:sz="4" w:space="0"/>
              <w:bottom w:val="single" w:color="000000" w:sz="4" w:space="0"/>
              <w:right w:val="single" w:color="000000" w:sz="4" w:space="0"/>
              <w:tl2br w:val="nil"/>
              <w:tr2bl w:val="nil"/>
            </w:tcBorders>
            <w:vAlign w:val="center"/>
          </w:tcPr>
          <w:p>
            <w:pPr>
              <w:topLinePunct/>
              <w:spacing w:line="240" w:lineRule="exact"/>
              <w:jc w:val="center"/>
              <w:rPr>
                <w:rFonts w:hint="default" w:eastAsia="仿宋_GB2312"/>
                <w:kern w:val="0"/>
                <w:sz w:val="21"/>
              </w:rPr>
            </w:pPr>
            <w:r>
              <w:rPr>
                <w:rFonts w:hint="default" w:eastAsia="仿宋_GB2312"/>
                <w:kern w:val="0"/>
                <w:sz w:val="21"/>
              </w:rPr>
              <w:t>"1</w:t>
            </w:r>
            <w:r>
              <w:rPr>
                <w:rFonts w:hint="eastAsia" w:eastAsia="仿宋_GB2312"/>
                <w:kern w:val="0"/>
                <w:sz w:val="21"/>
              </w:rPr>
              <w:t>、主管部门满意度</w:t>
            </w:r>
            <w:r>
              <w:rPr>
                <w:rFonts w:hint="default" w:eastAsia="仿宋_GB2312"/>
                <w:kern w:val="0"/>
                <w:sz w:val="21"/>
              </w:rPr>
              <w:t>100%</w:t>
            </w:r>
            <w:r>
              <w:rPr>
                <w:rFonts w:hint="eastAsia" w:eastAsia="仿宋_GB2312"/>
                <w:kern w:val="0"/>
                <w:sz w:val="21"/>
              </w:rPr>
              <w:t>。</w:t>
            </w:r>
          </w:p>
          <w:p>
            <w:pPr>
              <w:topLinePunct/>
              <w:spacing w:line="240" w:lineRule="exact"/>
              <w:jc w:val="center"/>
              <w:rPr>
                <w:rFonts w:hint="default" w:eastAsia="Times New Roman"/>
                <w:kern w:val="0"/>
                <w:sz w:val="21"/>
              </w:rPr>
            </w:pPr>
            <w:r>
              <w:rPr>
                <w:rFonts w:hint="default" w:eastAsia="仿宋_GB2312"/>
                <w:kern w:val="0"/>
                <w:sz w:val="21"/>
              </w:rPr>
              <w:t>2</w:t>
            </w:r>
            <w:r>
              <w:rPr>
                <w:rFonts w:hint="eastAsia" w:eastAsia="仿宋_GB2312"/>
                <w:kern w:val="0"/>
                <w:sz w:val="21"/>
              </w:rPr>
              <w:t>、社会群众满意度</w:t>
            </w:r>
            <w:r>
              <w:rPr>
                <w:rFonts w:hint="default" w:eastAsia="仿宋_GB2312"/>
                <w:kern w:val="0"/>
                <w:sz w:val="21"/>
              </w:rPr>
              <w:t>95%</w:t>
            </w:r>
            <w:r>
              <w:rPr>
                <w:rFonts w:hint="eastAsia" w:eastAsia="仿宋_GB2312"/>
                <w:kern w:val="0"/>
                <w:sz w:val="21"/>
              </w:rPr>
              <w:t>以上。</w:t>
            </w:r>
            <w:r>
              <w:rPr>
                <w:rFonts w:hint="default" w:eastAsia="仿宋_GB2312"/>
                <w:kern w:val="0"/>
                <w:sz w:val="21"/>
              </w:rPr>
              <w:t>"</w:t>
            </w:r>
          </w:p>
        </w:tc>
        <w:tc>
          <w:tcPr>
            <w:tcW w:w="11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100%</w:t>
            </w:r>
          </w:p>
        </w:tc>
        <w:tc>
          <w:tcPr>
            <w:tcW w:w="784"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100%</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357"/>
              </w:tabs>
              <w:topLinePunct/>
              <w:spacing w:line="240" w:lineRule="exact"/>
              <w:jc w:val="left"/>
              <w:rPr>
                <w:rFonts w:hint="default" w:eastAsia="Times New Roman"/>
                <w:kern w:val="0"/>
                <w:sz w:val="21"/>
              </w:rPr>
            </w:pPr>
            <w:r>
              <w:rPr>
                <w:rFonts w:hint="default"/>
                <w:kern w:val="0"/>
                <w:sz w:val="21"/>
              </w:rPr>
              <w:t>10</w:t>
            </w:r>
            <w:r>
              <w:rPr>
                <w:rFonts w:hint="default" w:eastAsia="Times New Roman"/>
                <w:kern w:val="0"/>
                <w:sz w:val="21"/>
              </w:rPr>
              <w:tab/>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坚持以用户需求为导向，做好信息化支撑服务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tcBorders>
              <w:top w:val="nil"/>
              <w:left w:val="single" w:color="000000" w:sz="4" w:space="0"/>
              <w:bottom w:val="nil"/>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1"/>
              </w:rPr>
              <w:t>执行率指标（</w:t>
            </w:r>
            <w:r>
              <w:rPr>
                <w:rFonts w:hint="default" w:eastAsia="仿宋_GB2312"/>
                <w:kern w:val="0"/>
                <w:sz w:val="21"/>
              </w:rPr>
              <w:t>10</w:t>
            </w:r>
            <w:r>
              <w:rPr>
                <w:rFonts w:hint="eastAsia" w:eastAsia="仿宋_GB2312"/>
                <w:kern w:val="0"/>
                <w:sz w:val="21"/>
              </w:rPr>
              <w:t>分）</w:t>
            </w:r>
          </w:p>
        </w:tc>
        <w:tc>
          <w:tcPr>
            <w:tcW w:w="4792" w:type="dxa"/>
            <w:gridSpan w:val="6"/>
            <w:tcBorders>
              <w:top w:val="single" w:color="auto" w:sz="4" w:space="0"/>
              <w:left w:val="single" w:color="auto" w:sz="4" w:space="0"/>
              <w:bottom w:val="single" w:color="auto" w:sz="4" w:space="0"/>
              <w:right w:val="single" w:color="000000" w:sz="4" w:space="0"/>
              <w:tl2br w:val="nil"/>
              <w:tr2bl w:val="nil"/>
            </w:tcBorders>
            <w:vAlign w:val="center"/>
          </w:tcPr>
          <w:p>
            <w:pPr>
              <w:topLinePunct/>
              <w:spacing w:line="240" w:lineRule="exact"/>
              <w:rPr>
                <w:rFonts w:hint="default" w:eastAsia="仿宋_GB2312"/>
                <w:kern w:val="0"/>
                <w:sz w:val="21"/>
              </w:rPr>
            </w:pPr>
            <w:r>
              <w:rPr>
                <w:rFonts w:hint="eastAsia" w:eastAsia="仿宋_GB2312"/>
                <w:kern w:val="0"/>
                <w:sz w:val="21"/>
              </w:rPr>
              <w:t>资金执行率：</w:t>
            </w:r>
          </w:p>
          <w:p>
            <w:pPr>
              <w:topLinePunct/>
              <w:spacing w:line="240" w:lineRule="exact"/>
              <w:jc w:val="center"/>
              <w:rPr>
                <w:rFonts w:hint="default" w:eastAsia="Times New Roman"/>
                <w:kern w:val="0"/>
                <w:sz w:val="21"/>
              </w:rPr>
            </w:pPr>
            <w:r>
              <w:rPr>
                <w:rFonts w:hint="eastAsia" w:eastAsia="仿宋_GB2312"/>
                <w:kern w:val="0"/>
                <w:sz w:val="21"/>
              </w:rPr>
              <w:t>（计算方式：执行率自评得分</w:t>
            </w:r>
            <w:r>
              <w:rPr>
                <w:rFonts w:hint="default" w:eastAsia="仿宋_GB2312"/>
                <w:kern w:val="0"/>
                <w:sz w:val="22"/>
              </w:rPr>
              <w:t>=</w:t>
            </w:r>
            <w:r>
              <w:rPr>
                <w:rFonts w:hint="eastAsia" w:eastAsia="仿宋_GB2312"/>
                <w:kern w:val="0"/>
                <w:sz w:val="21"/>
              </w:rPr>
              <w:t>资金执行率</w:t>
            </w:r>
            <w:r>
              <w:rPr>
                <w:rFonts w:hint="default" w:eastAsia="仿宋_GB2312"/>
                <w:kern w:val="0"/>
                <w:sz w:val="22"/>
              </w:rPr>
              <w:t>*</w:t>
            </w:r>
            <w:r>
              <w:rPr>
                <w:rFonts w:hint="default" w:eastAsia="仿宋_GB2312"/>
                <w:kern w:val="0"/>
                <w:sz w:val="21"/>
              </w:rPr>
              <w:t>10</w:t>
            </w:r>
            <w:r>
              <w:rPr>
                <w:rFonts w:hint="eastAsia" w:eastAsia="仿宋_GB2312"/>
                <w:kern w:val="0"/>
                <w:sz w:val="21"/>
              </w:rPr>
              <w:t>）</w:t>
            </w:r>
          </w:p>
        </w:tc>
        <w:tc>
          <w:tcPr>
            <w:tcW w:w="627"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w:t>
            </w:r>
          </w:p>
        </w:tc>
        <w:tc>
          <w:tcPr>
            <w:tcW w:w="485"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357"/>
              </w:tabs>
              <w:topLinePunct/>
              <w:spacing w:line="240" w:lineRule="exact"/>
              <w:jc w:val="left"/>
              <w:rPr>
                <w:rFonts w:hint="default"/>
                <w:kern w:val="0"/>
                <w:sz w:val="21"/>
              </w:rPr>
            </w:pPr>
            <w:r>
              <w:rPr>
                <w:rFonts w:hint="default"/>
                <w:kern w:val="0"/>
                <w:sz w:val="21"/>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ascii="仿宋_GB2312" w:hAnsi="仿宋_GB2312" w:eastAsia="仿宋_GB2312"/>
                <w:kern w:val="0"/>
                <w:sz w:val="21"/>
              </w:rPr>
              <w:t>根据工作实际情况，及时调整项目进度，力争项目执行率更精准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tcBorders>
              <w:top w:val="nil"/>
              <w:left w:val="single" w:color="000000" w:sz="4" w:space="0"/>
              <w:bottom w:val="single" w:color="auto" w:sz="4" w:space="0"/>
              <w:right w:val="single" w:color="000000" w:sz="4" w:space="0"/>
              <w:tl2br w:val="nil"/>
              <w:tr2bl w:val="nil"/>
            </w:tcBorders>
            <w:vAlign w:val="center"/>
          </w:tcPr>
          <w:p>
            <w:pPr>
              <w:topLinePunct/>
              <w:spacing w:line="240" w:lineRule="exact"/>
              <w:jc w:val="center"/>
              <w:rPr>
                <w:rFonts w:hint="default" w:eastAsia="仿宋_GB2312"/>
                <w:kern w:val="0"/>
                <w:sz w:val="24"/>
              </w:rPr>
            </w:pPr>
          </w:p>
        </w:tc>
        <w:tc>
          <w:tcPr>
            <w:tcW w:w="6012" w:type="dxa"/>
            <w:gridSpan w:val="9"/>
            <w:tcBorders>
              <w:top w:val="single" w:color="000000" w:sz="4" w:space="0"/>
              <w:left w:val="single" w:color="000000" w:sz="4" w:space="0"/>
              <w:bottom w:val="single" w:color="auto"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kern w:val="0"/>
                <w:sz w:val="21"/>
              </w:rPr>
              <w:t>总分</w:t>
            </w:r>
          </w:p>
        </w:tc>
        <w:tc>
          <w:tcPr>
            <w:tcW w:w="627" w:type="dxa"/>
            <w:tcBorders>
              <w:top w:val="single" w:color="000000" w:sz="4" w:space="0"/>
              <w:left w:val="single" w:color="000000" w:sz="4" w:space="0"/>
              <w:bottom w:val="single" w:color="auto" w:sz="4" w:space="0"/>
              <w:right w:val="single" w:color="000000" w:sz="4" w:space="0"/>
              <w:tl2br w:val="nil"/>
              <w:tr2bl w:val="nil"/>
            </w:tcBorders>
            <w:vAlign w:val="center"/>
          </w:tcPr>
          <w:p>
            <w:pPr>
              <w:topLinePunct/>
              <w:spacing w:line="240" w:lineRule="exact"/>
              <w:jc w:val="center"/>
              <w:rPr>
                <w:rFonts w:hint="default"/>
                <w:kern w:val="0"/>
                <w:sz w:val="21"/>
              </w:rPr>
            </w:pPr>
            <w:r>
              <w:rPr>
                <w:rFonts w:hint="default"/>
                <w:kern w:val="0"/>
                <w:sz w:val="21"/>
              </w:rPr>
              <w:t>100</w:t>
            </w:r>
          </w:p>
        </w:tc>
        <w:tc>
          <w:tcPr>
            <w:tcW w:w="485" w:type="dxa"/>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357"/>
              </w:tabs>
              <w:topLinePunct/>
              <w:spacing w:line="240" w:lineRule="exact"/>
              <w:jc w:val="left"/>
              <w:rPr>
                <w:rFonts w:hint="default"/>
                <w:kern w:val="0"/>
                <w:sz w:val="21"/>
              </w:rPr>
            </w:pPr>
            <w:r>
              <w:rPr>
                <w:rFonts w:hint="default"/>
                <w:kern w:val="0"/>
                <w:sz w:val="21"/>
              </w:rPr>
              <w:t>95</w:t>
            </w:r>
          </w:p>
        </w:tc>
        <w:tc>
          <w:tcPr>
            <w:tcW w:w="1808" w:type="dxa"/>
            <w:tcBorders>
              <w:top w:val="single" w:color="000000" w:sz="4" w:space="0"/>
              <w:left w:val="single" w:color="000000" w:sz="4" w:space="0"/>
              <w:bottom w:val="single" w:color="auto" w:sz="4" w:space="0"/>
              <w:right w:val="single" w:color="000000" w:sz="4" w:space="0"/>
              <w:tl2br w:val="nil"/>
              <w:tr2bl w:val="nil"/>
            </w:tcBorders>
            <w:vAlign w:val="center"/>
          </w:tcPr>
          <w:p>
            <w:pPr>
              <w:topLinePunct/>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topLinePunct/>
              <w:spacing w:line="240" w:lineRule="exact"/>
              <w:jc w:val="center"/>
              <w:rPr>
                <w:rFonts w:hint="default" w:eastAsia="仿宋_GB2312"/>
                <w:kern w:val="0"/>
                <w:sz w:val="21"/>
              </w:rPr>
            </w:pPr>
            <w:r>
              <w:rPr>
                <w:rFonts w:hint="eastAsia" w:eastAsia="仿宋_GB2312"/>
                <w:kern w:val="0"/>
                <w:sz w:val="24"/>
              </w:rPr>
              <w:t>评价结果</w:t>
            </w:r>
          </w:p>
        </w:tc>
        <w:tc>
          <w:tcPr>
            <w:tcW w:w="5520" w:type="dxa"/>
            <w:gridSpan w:val="8"/>
            <w:tcBorders>
              <w:top w:val="single" w:color="auto" w:sz="4" w:space="0"/>
              <w:left w:val="single" w:color="auto" w:sz="4" w:space="0"/>
              <w:bottom w:val="single" w:color="auto" w:sz="4" w:space="0"/>
              <w:right w:val="single" w:color="000000" w:sz="4" w:space="0"/>
              <w:tl2br w:val="nil"/>
              <w:tr2bl w:val="nil"/>
            </w:tcBorders>
            <w:vAlign w:val="center"/>
          </w:tcPr>
          <w:p>
            <w:pPr>
              <w:topLinePunct/>
              <w:spacing w:line="240" w:lineRule="exact"/>
              <w:jc w:val="center"/>
              <w:rPr>
                <w:rFonts w:hint="default" w:eastAsia="Times New Roman"/>
                <w:kern w:val="0"/>
                <w:sz w:val="21"/>
              </w:rPr>
            </w:pPr>
            <w:r>
              <w:rPr>
                <w:rFonts w:hint="eastAsia" w:eastAsia="仿宋_GB2312"/>
                <w:sz w:val="24"/>
              </w:rPr>
              <w:t>优：</w:t>
            </w:r>
            <w:r>
              <w:rPr>
                <w:rFonts w:hint="default" w:eastAsia="仿宋_GB2312"/>
                <w:sz w:val="24"/>
              </w:rPr>
              <w:t>90</w:t>
            </w:r>
            <w:r>
              <w:rPr>
                <w:rFonts w:hint="eastAsia" w:eastAsia="仿宋_GB2312"/>
                <w:sz w:val="24"/>
              </w:rPr>
              <w:t>分≤得分≤</w:t>
            </w:r>
            <w:r>
              <w:rPr>
                <w:rFonts w:hint="default" w:eastAsia="仿宋_GB2312"/>
                <w:sz w:val="24"/>
              </w:rPr>
              <w:t>100</w:t>
            </w:r>
            <w:r>
              <w:rPr>
                <w:rFonts w:hint="eastAsia" w:eastAsia="仿宋_GB2312"/>
                <w:sz w:val="24"/>
              </w:rPr>
              <w:t>分；良：</w:t>
            </w:r>
            <w:r>
              <w:rPr>
                <w:rFonts w:hint="default" w:eastAsia="仿宋_GB2312"/>
                <w:sz w:val="24"/>
              </w:rPr>
              <w:t>80</w:t>
            </w:r>
            <w:r>
              <w:rPr>
                <w:rFonts w:hint="eastAsia" w:eastAsia="仿宋_GB2312"/>
                <w:sz w:val="24"/>
              </w:rPr>
              <w:t>分≤得分</w:t>
            </w:r>
            <w:r>
              <w:rPr>
                <w:rFonts w:hint="default" w:eastAsia="仿宋_GB2312"/>
                <w:sz w:val="24"/>
              </w:rPr>
              <w:t>&lt;90</w:t>
            </w:r>
            <w:r>
              <w:rPr>
                <w:rFonts w:hint="eastAsia" w:eastAsia="仿宋_GB2312"/>
                <w:sz w:val="24"/>
              </w:rPr>
              <w:t>分；中：</w:t>
            </w:r>
            <w:r>
              <w:rPr>
                <w:rFonts w:hint="default" w:eastAsia="仿宋_GB2312"/>
                <w:sz w:val="24"/>
              </w:rPr>
              <w:t>60</w:t>
            </w:r>
            <w:r>
              <w:rPr>
                <w:rFonts w:hint="eastAsia" w:eastAsia="仿宋_GB2312"/>
                <w:sz w:val="24"/>
              </w:rPr>
              <w:t>分≤得分</w:t>
            </w:r>
            <w:r>
              <w:rPr>
                <w:rFonts w:hint="default" w:eastAsia="仿宋_GB2312"/>
                <w:sz w:val="24"/>
              </w:rPr>
              <w:t>&lt;80</w:t>
            </w:r>
            <w:r>
              <w:rPr>
                <w:rFonts w:hint="eastAsia" w:eastAsia="仿宋_GB2312"/>
                <w:sz w:val="24"/>
              </w:rPr>
              <w:t>分；差：得分</w:t>
            </w:r>
            <w:r>
              <w:rPr>
                <w:rFonts w:hint="default" w:eastAsia="仿宋_GB2312"/>
                <w:sz w:val="24"/>
              </w:rPr>
              <w:t>&lt;60</w:t>
            </w:r>
            <w:r>
              <w:rPr>
                <w:rFonts w:hint="eastAsia" w:eastAsia="仿宋_GB2312"/>
                <w:sz w:val="24"/>
              </w:rPr>
              <w:t>分</w:t>
            </w:r>
          </w:p>
        </w:tc>
        <w:tc>
          <w:tcPr>
            <w:tcW w:w="48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357"/>
              </w:tabs>
              <w:topLinePunct/>
              <w:spacing w:line="240" w:lineRule="exact"/>
              <w:jc w:val="left"/>
              <w:rPr>
                <w:rFonts w:hint="default" w:eastAsia="Times New Roman"/>
                <w:kern w:val="0"/>
                <w:sz w:val="21"/>
              </w:rPr>
            </w:pPr>
            <w:r>
              <w:rPr>
                <w:rFonts w:hint="eastAsia"/>
                <w:kern w:val="0"/>
                <w:sz w:val="21"/>
              </w:rPr>
              <w:t>优</w:t>
            </w:r>
          </w:p>
        </w:tc>
        <w:tc>
          <w:tcPr>
            <w:tcW w:w="1808" w:type="dxa"/>
            <w:tcBorders>
              <w:top w:val="single" w:color="auto" w:sz="4" w:space="0"/>
              <w:left w:val="single" w:color="000000" w:sz="4" w:space="0"/>
              <w:bottom w:val="single" w:color="auto" w:sz="4" w:space="0"/>
              <w:right w:val="single" w:color="auto" w:sz="4" w:space="0"/>
              <w:tl2br w:val="nil"/>
              <w:tr2bl w:val="nil"/>
            </w:tcBorders>
            <w:vAlign w:val="center"/>
          </w:tcPr>
          <w:p>
            <w:pPr>
              <w:topLinePunct/>
              <w:spacing w:line="240" w:lineRule="exact"/>
              <w:jc w:val="center"/>
              <w:rPr>
                <w:rFonts w:hint="default" w:eastAsia="Times New Roman"/>
                <w:kern w:val="0"/>
                <w:sz w:val="21"/>
              </w:rPr>
            </w:pPr>
            <w:r>
              <w:rPr>
                <w:rFonts w:hint="default" w:eastAsia="Times New Roman"/>
                <w:kern w:val="0"/>
                <w:sz w:val="24"/>
              </w:rPr>
              <w:t>-</w:t>
            </w:r>
          </w:p>
        </w:tc>
      </w:tr>
    </w:tbl>
    <w:p>
      <w:pPr>
        <w:rPr>
          <w:rFonts w:hint="default" w:eastAsia="Times New Roman"/>
          <w:sz w:val="21"/>
        </w:rPr>
      </w:pP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3.本单位未开展财政评价项目绩效评价结果，因此无相关内容。</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4.本单位未开展以部门评价项目绩效评价结果，因此无相关内容。</w:t>
      </w:r>
    </w:p>
    <w:p>
      <w:pPr>
        <w:spacing w:line="324" w:lineRule="auto"/>
        <w:ind w:firstLine="627" w:firstLineChars="196"/>
        <w:rPr>
          <w:rFonts w:hint="default" w:eastAsia="Times New Roman"/>
          <w:color w:val="000000"/>
          <w:sz w:val="32"/>
          <w:highlight w:val="white"/>
        </w:rPr>
      </w:pPr>
      <w:r>
        <w:rPr>
          <w:rFonts w:hint="eastAsia" w:ascii="仿宋" w:hAnsi="仿宋" w:eastAsia="仿宋"/>
          <w:color w:val="000000"/>
          <w:sz w:val="32"/>
          <w:highlight w:val="white"/>
        </w:rPr>
        <w:t>说明：</w:t>
      </w:r>
      <w:r>
        <w:rPr>
          <w:rFonts w:hint="eastAsia" w:ascii="仿宋" w:hAnsi="仿宋" w:eastAsia="仿宋"/>
          <w:b/>
          <w:color w:val="000000"/>
          <w:sz w:val="32"/>
          <w:highlight w:val="white"/>
        </w:rPr>
        <w:t>部门评价项目</w:t>
      </w:r>
      <w:r>
        <w:rPr>
          <w:rFonts w:hint="eastAsia" w:ascii="仿宋" w:hAnsi="仿宋" w:eastAsia="仿宋"/>
          <w:color w:val="000000"/>
          <w:sz w:val="32"/>
          <w:highlight w:val="white"/>
        </w:rPr>
        <w:t>是指本部门自行开展的评价对象为本部门政策、项目、整体支出或下属单位整体支出的绩效评价；</w:t>
      </w:r>
      <w:r>
        <w:rPr>
          <w:rFonts w:hint="eastAsia" w:ascii="仿宋" w:hAnsi="仿宋" w:eastAsia="仿宋"/>
          <w:b/>
          <w:color w:val="000000"/>
          <w:sz w:val="32"/>
          <w:highlight w:val="white"/>
        </w:rPr>
        <w:t>财政评价项目</w:t>
      </w:r>
      <w:r>
        <w:rPr>
          <w:rFonts w:hint="eastAsia" w:ascii="仿宋" w:hAnsi="仿宋" w:eastAsia="仿宋"/>
          <w:color w:val="000000"/>
          <w:sz w:val="32"/>
          <w:highlight w:val="white"/>
        </w:rPr>
        <w:t>是指以由财政部门开展的评价对象为本部门政策、项目或整体支出的绩效评价项目。</w:t>
      </w:r>
    </w:p>
    <w:p>
      <w:pPr>
        <w:spacing w:line="324" w:lineRule="auto"/>
        <w:ind w:firstLine="600"/>
        <w:rPr>
          <w:rFonts w:hint="default" w:eastAsia="Times New Roman"/>
          <w:b/>
          <w:color w:val="000000"/>
          <w:sz w:val="32"/>
          <w:highlight w:val="white"/>
        </w:rPr>
      </w:pPr>
      <w:r>
        <w:rPr>
          <w:rFonts w:hint="eastAsia" w:ascii="黑体" w:hAnsi="黑体" w:eastAsia="黑体"/>
          <w:b/>
          <w:color w:val="000000"/>
          <w:sz w:val="32"/>
          <w:highlight w:val="white"/>
        </w:rPr>
        <w:t>四、名词解释</w:t>
      </w:r>
    </w:p>
    <w:p>
      <w:pPr>
        <w:spacing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1.财政拨款收入：指本级财政部门当年拨付的财政预算资金，包括一般公共预算财政拨款、政府性基金预算财政拨款和国有资本经预算财政拨款。</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lang w:val="zh-CN"/>
        </w:rPr>
        <w:t>2.事业收入：指事业单位开展专业业务活动及辅助活动所取得的收入。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3.经营收入：指事业单位在专业业务活动及辅助活动之外开展非独立核算经营活动取得的收入。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4.上级补助收入：指事业单位从主管部门和上级单位取得的非财政补助收入。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5.附属单位上缴收入：指事业单位附属独立核算单位按照有关规定上缴的收入。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6.其他收入：指预算单位在“财政拨款”、“事业收入”、“经营收入”、“上级补助收入”、“附属单位上缴收入”等之外取得的各项收入。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7.使用非财政拨款结余：指事业单位使用以前年度积累的非财政拨款结余弥补当年收支差额的金额。</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8.年初结转和结余：指预算单位以前年度尚未完成、结转到本年仍按原规定用途继续使用的资金。</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9.年末结转和结余：指单位按有关规定结转到下年或以后年度继续使用的资金。</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10.基本支出：指预算单位为保障其正常运转，完成日常工作任务所发生的支出，包括人员经费支出和日常公用经费支出。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11.项目支出：指预算单位为完成其特定的行政工作任务或事业发展目标所发生的支出。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12.上缴上级支出：填列事业单位按照财政部门和主管部门的规定上缴上级单位的支出。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13.经营支出：指事业单位在专业业务活动及其辅助活动之外开展非独立核算经营活动发生的支出。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14.附属单位补助支出：填列事业单位用财政补助收入之外的收入对附属单位补助发生的支出。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17.教育支出（类）其他教育支出（款）其他教育支出（项）：指用于教育方面的支出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18.社会保障和就业支出（类）行政事业单位离退休（款）机关事业单位基本养老保险缴费支出（项）：指机关事业养老保险制度由单位缴纳的基本养老保险支出。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19.</w:t>
      </w:r>
      <w:r>
        <w:rPr>
          <w:rFonts w:hint="default"/>
          <w:sz w:val="21"/>
        </w:rPr>
        <w:t xml:space="preserve"> </w:t>
      </w:r>
      <w:r>
        <w:rPr>
          <w:rFonts w:hint="eastAsia" w:ascii="仿宋" w:hAnsi="仿宋" w:eastAsia="仿宋"/>
          <w:color w:val="000000"/>
          <w:sz w:val="32"/>
        </w:rPr>
        <w:t>社会保障和就业支出（类）行政事业单位离退休（款）机关事业单位基本养老保险缴费支出（项）：指机关事业养老保险制度由单位实际缴纳的职业年金支出。</w:t>
      </w:r>
    </w:p>
    <w:p>
      <w:pPr>
        <w:spacing w:line="324" w:lineRule="auto"/>
        <w:ind w:firstLine="594"/>
        <w:rPr>
          <w:rFonts w:hint="eastAsia" w:ascii="仿宋_GB2312" w:hAnsi="仿宋_GB2312" w:eastAsia="仿宋_GB2312"/>
          <w:color w:val="000000"/>
          <w:sz w:val="32"/>
          <w:highlight w:val="white"/>
        </w:rPr>
      </w:pPr>
      <w:r>
        <w:rPr>
          <w:rFonts w:hint="eastAsia" w:ascii="仿宋" w:hAnsi="仿宋" w:eastAsia="仿宋"/>
          <w:color w:val="000000"/>
          <w:sz w:val="32"/>
          <w:highlight w:val="white"/>
        </w:rPr>
        <w:t>20</w:t>
      </w:r>
      <w:r>
        <w:rPr>
          <w:rFonts w:hint="eastAsia" w:ascii="仿宋" w:hAnsi="仿宋" w:eastAsia="仿宋"/>
          <w:color w:val="000000"/>
          <w:sz w:val="32"/>
        </w:rPr>
        <w:t>、社会保障和就业支出（类）行政事业单位离退休（款）机关事业单位基本养老保险缴费支出（项）：指除上述项目以外行政事业单位离退休方面的支出。</w:t>
      </w:r>
    </w:p>
    <w:p>
      <w:pPr>
        <w:jc w:val="left"/>
        <w:rPr>
          <w:rFonts w:hint="eastAsia" w:ascii="宋体"/>
          <w:kern w:val="0"/>
          <w:sz w:val="18"/>
          <w:lang w:val="zh-CN"/>
        </w:rPr>
      </w:pPr>
    </w:p>
    <w:p>
      <w:pPr>
        <w:spacing w:line="324" w:lineRule="auto"/>
        <w:ind w:firstLine="640" w:firstLineChars="200"/>
        <w:rPr>
          <w:rFonts w:hint="eastAsia" w:ascii="仿宋" w:hAnsi="仿宋" w:eastAsia="仿宋"/>
          <w:color w:val="000000"/>
          <w:sz w:val="32"/>
        </w:rPr>
      </w:pPr>
      <w:r>
        <w:rPr>
          <w:rFonts w:hint="eastAsia" w:ascii="宋体"/>
          <w:kern w:val="0"/>
          <w:sz w:val="32"/>
          <w:lang w:val="zh-CN"/>
        </w:rPr>
        <w:t>21、</w:t>
      </w:r>
      <w:r>
        <w:rPr>
          <w:rFonts w:hint="eastAsia" w:ascii="仿宋" w:hAnsi="仿宋" w:eastAsia="仿宋"/>
          <w:color w:val="000000"/>
          <w:sz w:val="32"/>
        </w:rPr>
        <w:t>社会保障和就业支出（类）其他社会保障和就业支出（款）其他社会保障和就业支出（项）：指除上述项目以外其他用于社会保障和就业方面的支出。</w:t>
      </w:r>
    </w:p>
    <w:p>
      <w:pPr>
        <w:spacing w:line="324" w:lineRule="auto"/>
        <w:ind w:firstLine="640" w:firstLineChars="200"/>
        <w:rPr>
          <w:rFonts w:hint="eastAsia" w:ascii="仿宋" w:hAnsi="仿宋" w:eastAsia="仿宋"/>
          <w:color w:val="000000"/>
          <w:sz w:val="32"/>
        </w:rPr>
      </w:pPr>
      <w:r>
        <w:rPr>
          <w:rFonts w:hint="eastAsia" w:ascii="仿宋" w:hAnsi="仿宋" w:eastAsia="仿宋"/>
          <w:color w:val="000000"/>
          <w:sz w:val="32"/>
        </w:rPr>
        <w:t>22、卫生健康支出（类）行政事业单位医疗（款）事业单位医疗（项），指财政部门安排的事业单位基本医疗保险缴费经费，未参加医疗保险的行政单位的公费医疗经费按国家规定享受离休人员待遇医疗经费。</w:t>
      </w:r>
    </w:p>
    <w:p>
      <w:pPr>
        <w:spacing w:line="324" w:lineRule="auto"/>
        <w:ind w:firstLine="640" w:firstLineChars="200"/>
        <w:rPr>
          <w:rFonts w:hint="eastAsia" w:ascii="仿宋" w:hAnsi="仿宋" w:eastAsia="仿宋"/>
          <w:color w:val="000000"/>
          <w:sz w:val="32"/>
        </w:rPr>
      </w:pPr>
      <w:r>
        <w:rPr>
          <w:rFonts w:hint="eastAsia" w:ascii="仿宋" w:hAnsi="仿宋" w:eastAsia="仿宋"/>
          <w:color w:val="000000"/>
          <w:sz w:val="32"/>
        </w:rPr>
        <w:t>23、城乡社区支出 （类）城乡社区规划与管理（款）城乡社区规划与管理（项）反映城乡社区、防灾减灾、历史名城规划制定与管理等方面的支出。</w:t>
      </w:r>
    </w:p>
    <w:p>
      <w:pPr>
        <w:spacing w:line="324" w:lineRule="auto"/>
        <w:ind w:firstLine="640" w:firstLineChars="200"/>
        <w:rPr>
          <w:rFonts w:hint="eastAsia" w:ascii="仿宋" w:hAnsi="仿宋" w:eastAsia="仿宋"/>
          <w:color w:val="000000"/>
          <w:sz w:val="32"/>
        </w:rPr>
      </w:pPr>
      <w:r>
        <w:rPr>
          <w:rFonts w:hint="eastAsia" w:ascii="仿宋" w:hAnsi="仿宋" w:eastAsia="仿宋"/>
          <w:color w:val="000000"/>
          <w:sz w:val="32"/>
        </w:rPr>
        <w:t>24、自然资源海洋气象等支出（类）自然资源事务（款）</w:t>
      </w:r>
    </w:p>
    <w:p>
      <w:pPr>
        <w:spacing w:line="324" w:lineRule="auto"/>
        <w:rPr>
          <w:rFonts w:hint="eastAsia" w:ascii="仿宋" w:hAnsi="仿宋" w:eastAsia="仿宋"/>
          <w:color w:val="000000"/>
          <w:sz w:val="32"/>
        </w:rPr>
      </w:pPr>
      <w:r>
        <w:rPr>
          <w:rFonts w:hint="eastAsia" w:ascii="仿宋" w:hAnsi="仿宋" w:eastAsia="仿宋"/>
          <w:color w:val="000000"/>
          <w:sz w:val="32"/>
        </w:rPr>
        <w:t>事业运行（项）指事业单位的基本支出，不包括行政单位（含实行公务员管理更换事业单位）后勤服务中心等附属事业单位的支出。</w:t>
      </w:r>
    </w:p>
    <w:p>
      <w:pPr>
        <w:spacing w:line="324" w:lineRule="auto"/>
        <w:rPr>
          <w:rFonts w:hint="eastAsia" w:ascii="仿宋_GB2312" w:hAnsi="仿宋_GB2312" w:eastAsia="仿宋_GB2312"/>
          <w:color w:val="000000"/>
          <w:sz w:val="32"/>
          <w:highlight w:val="white"/>
        </w:rPr>
      </w:pPr>
      <w:r>
        <w:rPr>
          <w:rFonts w:hint="eastAsia" w:ascii="仿宋" w:hAnsi="仿宋" w:eastAsia="仿宋"/>
          <w:color w:val="000000"/>
          <w:sz w:val="32"/>
        </w:rPr>
        <w:t xml:space="preserve">    25、住房保障支出（类）住房改革支出（款）住房公积金（项）反映行政事业单位用于按人力资源和社会保障部、财政部规定的基本工资和津贴补贴以及规定比例为职工缴纳的住房公积金。</w:t>
      </w:r>
    </w:p>
    <w:p>
      <w:pPr>
        <w:jc w:val="left"/>
        <w:rPr>
          <w:rFonts w:hint="eastAsia" w:ascii="黑体" w:hAnsi="宋体" w:eastAsia="黑体"/>
          <w:spacing w:val="15"/>
          <w:sz w:val="44"/>
        </w:rPr>
      </w:pPr>
    </w:p>
    <w:p>
      <w:pPr>
        <w:jc w:val="left"/>
        <w:rPr>
          <w:rFonts w:hint="eastAsia" w:ascii="宋体"/>
          <w:kern w:val="0"/>
          <w:sz w:val="18"/>
          <w:lang w:val="zh-CN"/>
        </w:rPr>
      </w:pPr>
    </w:p>
    <w:p>
      <w:pPr>
        <w:jc w:val="left"/>
        <w:rPr>
          <w:rFonts w:hint="eastAsia" w:ascii="宋体"/>
          <w:kern w:val="0"/>
          <w:sz w:val="18"/>
          <w:lang w:val="zh-CN"/>
        </w:rPr>
      </w:pPr>
    </w:p>
    <w:p>
      <w:pPr>
        <w:jc w:val="left"/>
        <w:rPr>
          <w:rFonts w:hint="eastAsia" w:ascii="黑体" w:hAnsi="黑体" w:eastAsia="黑体"/>
          <w:spacing w:val="15"/>
          <w:sz w:val="44"/>
        </w:rPr>
      </w:pPr>
    </w:p>
    <w:p>
      <w:pPr>
        <w:jc w:val="left"/>
        <w:rPr>
          <w:rFonts w:hint="eastAsia" w:ascii="宋体"/>
          <w:kern w:val="0"/>
          <w:sz w:val="18"/>
          <w:lang w:val="zh-CN"/>
        </w:rPr>
      </w:pPr>
    </w:p>
    <w:p>
      <w:pPr>
        <w:jc w:val="left"/>
        <w:rPr>
          <w:rFonts w:hint="eastAsia" w:ascii="宋体"/>
          <w:kern w:val="0"/>
          <w:sz w:val="18"/>
          <w:lang w:val="zh-CN"/>
        </w:rPr>
      </w:pPr>
    </w:p>
    <w:p>
      <w:pPr>
        <w:jc w:val="left"/>
        <w:rPr>
          <w:rFonts w:hint="eastAsia" w:ascii="宋体"/>
          <w:kern w:val="0"/>
          <w:sz w:val="18"/>
          <w:lang w:val="zh-CN"/>
        </w:rPr>
      </w:pPr>
    </w:p>
    <w:sectPr>
      <w:footerReference r:id="rId3" w:type="default"/>
      <w:pgSz w:w="12240" w:h="15840"/>
      <w:pgMar w:top="1440" w:right="1800" w:bottom="1440" w:left="1800" w:header="720" w:footer="720" w:gutter="0"/>
      <w:lnNumType w:countBy="0" w:distance="36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Times New Roman"/>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1</w:t>
    </w:r>
    <w:r>
      <w:rPr>
        <w:rFonts w:hint="default"/>
        <w:sz w:val="18"/>
        <w:lang w:val="zh-CN"/>
      </w:rPr>
      <w:fldChar w:fldCharType="end"/>
    </w:r>
  </w:p>
  <w:p>
    <w:pPr>
      <w:pStyle w:val="2"/>
      <w:rPr>
        <w:rFonts w:hint="default" w:eastAsia="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0"/>
  <w:displayVerticalDrawingGridEvery w:val="2"/>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65707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qFormat/>
    <w:uiPriority w:val="0"/>
    <w:pPr>
      <w:jc w:val="both"/>
    </w:pPr>
    <w:rPr>
      <w:rFonts w:hint="eastAsia" w:ascii="Times New Roman" w:hAnsi="Times New Roman" w:eastAsia="宋体"/>
      <w:kern w:val="2"/>
      <w:sz w:val="21"/>
      <w:lang w:val="en-US" w:eastAsia="zh-CN"/>
    </w:rPr>
  </w:style>
  <w:style w:type="character" w:default="1" w:styleId="4">
    <w:name w:val="Default Paragraph Font"/>
    <w:unhideWhenUsed/>
    <w:uiPriority w:val="99"/>
    <w:rPr>
      <w:rFonts w:hint="default"/>
      <w:sz w:val="24"/>
    </w:rPr>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hint="eastAsia"/>
      <w:sz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hint="eastAsia"/>
      <w:sz w:val="18"/>
    </w:rPr>
  </w:style>
  <w:style w:type="character" w:customStyle="1" w:styleId="6">
    <w:name w:val="页眉 Char1"/>
    <w:basedOn w:val="4"/>
    <w:unhideWhenUsed/>
    <w:uiPriority w:val="99"/>
    <w:rPr>
      <w:rFonts w:hint="eastAsia" w:ascii="宋体" w:hAnsi="Times New Roman" w:eastAsia="宋体"/>
      <w:sz w:val="18"/>
    </w:rPr>
  </w:style>
  <w:style w:type="character" w:customStyle="1" w:styleId="7">
    <w:name w:val="页眉 Char13"/>
    <w:basedOn w:val="4"/>
    <w:unhideWhenUsed/>
    <w:uiPriority w:val="99"/>
    <w:rPr>
      <w:rFonts w:hint="eastAsia" w:ascii="宋体" w:hAnsi="Times New Roman" w:eastAsia="宋体"/>
      <w:sz w:val="18"/>
    </w:rPr>
  </w:style>
  <w:style w:type="character" w:customStyle="1" w:styleId="8">
    <w:name w:val="页脚 Char"/>
    <w:basedOn w:val="4"/>
    <w:link w:val="2"/>
    <w:unhideWhenUsed/>
    <w:locked/>
    <w:uiPriority w:val="99"/>
    <w:rPr>
      <w:rFonts w:hint="default" w:ascii="Times New Roman" w:hAnsi="Times New Roman" w:eastAsia="宋体"/>
      <w:sz w:val="18"/>
    </w:rPr>
  </w:style>
  <w:style w:type="character" w:customStyle="1" w:styleId="9">
    <w:name w:val="页眉 Char"/>
    <w:basedOn w:val="4"/>
    <w:link w:val="3"/>
    <w:unhideWhenUsed/>
    <w:locked/>
    <w:uiPriority w:val="99"/>
    <w:rPr>
      <w:rFonts w:hint="default" w:ascii="Times New Roman" w:hAnsi="Times New Roman" w:eastAsia="宋体"/>
      <w:sz w:val="18"/>
    </w:rPr>
  </w:style>
  <w:style w:type="character" w:customStyle="1" w:styleId="10">
    <w:name w:val="页眉 Char11"/>
    <w:basedOn w:val="4"/>
    <w:unhideWhenUsed/>
    <w:uiPriority w:val="99"/>
    <w:rPr>
      <w:rFonts w:hint="eastAsia" w:ascii="宋体" w:hAnsi="Times New Roman" w:eastAsia="宋体"/>
      <w:sz w:val="18"/>
    </w:rPr>
  </w:style>
  <w:style w:type="character" w:customStyle="1" w:styleId="11">
    <w:name w:val="页脚 Char12"/>
    <w:basedOn w:val="4"/>
    <w:unhideWhenUsed/>
    <w:uiPriority w:val="99"/>
    <w:rPr>
      <w:rFonts w:hint="eastAsia" w:ascii="宋体" w:hAnsi="Times New Roman" w:eastAsia="宋体"/>
      <w:sz w:val="18"/>
    </w:rPr>
  </w:style>
  <w:style w:type="character" w:customStyle="1" w:styleId="12">
    <w:name w:val="页脚 Char1"/>
    <w:basedOn w:val="4"/>
    <w:unhideWhenUsed/>
    <w:uiPriority w:val="99"/>
    <w:rPr>
      <w:rFonts w:hint="eastAsia" w:ascii="宋体" w:hAnsi="Times New Roman" w:eastAsia="宋体"/>
      <w:sz w:val="18"/>
    </w:rPr>
  </w:style>
  <w:style w:type="character" w:customStyle="1" w:styleId="13">
    <w:name w:val="页眉 Char12"/>
    <w:basedOn w:val="4"/>
    <w:unhideWhenUsed/>
    <w:uiPriority w:val="99"/>
    <w:rPr>
      <w:rFonts w:hint="eastAsia" w:ascii="宋体" w:hAnsi="Times New Roman" w:eastAsia="宋体"/>
      <w:sz w:val="18"/>
    </w:rPr>
  </w:style>
  <w:style w:type="character" w:customStyle="1" w:styleId="14">
    <w:name w:val="页脚 Char11"/>
    <w:basedOn w:val="4"/>
    <w:unhideWhenUsed/>
    <w:uiPriority w:val="99"/>
    <w:rPr>
      <w:rFonts w:hint="eastAsia" w:ascii="宋体" w:hAnsi="Times New Roman" w:eastAsia="宋体"/>
      <w:sz w:val="18"/>
    </w:rPr>
  </w:style>
  <w:style w:type="character" w:customStyle="1" w:styleId="15">
    <w:name w:val="页脚 Char13"/>
    <w:basedOn w:val="4"/>
    <w:unhideWhenUsed/>
    <w:uiPriority w:val="99"/>
    <w:rPr>
      <w:rFonts w:hint="eastAsia" w:ascii="宋体" w:hAnsi="Times New Roman" w:eastAsia="宋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2021-09-29T09:13:30Z</dcterms:created>
  <cp:lastModifiedBy>徐啸</cp:lastModifiedBy>
  <dcterms:modified xsi:type="dcterms:W3CDTF">2021-09-29T09:13:38Z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