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30" w:lineRule="exact"/>
        <w:jc w:val="center"/>
        <w:rPr>
          <w:rFonts w:ascii="Times New Roman" w:hAnsi="Times New Roman" w:eastAsia="方正小标宋简体" w:cs="Times New Roman"/>
          <w:bCs/>
          <w:color w:val="000000"/>
          <w:spacing w:val="15"/>
          <w:sz w:val="48"/>
          <w:szCs w:val="48"/>
        </w:rPr>
      </w:pPr>
      <w:r>
        <w:rPr>
          <w:rFonts w:ascii="Times New Roman" w:hAnsi="Times New Roman" w:eastAsia="方正小标宋简体" w:cs="Times New Roman"/>
          <w:bCs/>
          <w:color w:val="000000"/>
          <w:spacing w:val="15"/>
          <w:sz w:val="48"/>
          <w:szCs w:val="48"/>
        </w:rPr>
        <w:t>金华市</w:t>
      </w:r>
      <w:r>
        <w:rPr>
          <w:rFonts w:hint="eastAsia" w:ascii="Times New Roman" w:hAnsi="Times New Roman" w:eastAsia="方正小标宋简体" w:cs="Times New Roman"/>
          <w:bCs/>
          <w:color w:val="000000"/>
          <w:spacing w:val="15"/>
          <w:sz w:val="48"/>
          <w:szCs w:val="48"/>
        </w:rPr>
        <w:t>自然资源和规划技术中心</w:t>
      </w:r>
    </w:p>
    <w:p>
      <w:pPr>
        <w:spacing w:line="530" w:lineRule="exact"/>
        <w:jc w:val="center"/>
        <w:rPr>
          <w:rFonts w:ascii="Times New Roman" w:hAnsi="Times New Roman" w:eastAsia="方正小标宋简体" w:cs="Times New Roman"/>
          <w:bCs/>
          <w:color w:val="000000"/>
          <w:spacing w:val="15"/>
          <w:sz w:val="48"/>
          <w:szCs w:val="48"/>
        </w:rPr>
      </w:pPr>
    </w:p>
    <w:p>
      <w:pPr>
        <w:spacing w:line="530" w:lineRule="exact"/>
        <w:jc w:val="center"/>
        <w:rPr>
          <w:rStyle w:val="7"/>
          <w:rFonts w:ascii="Times New Roman" w:hAnsi="Times New Roman" w:eastAsia="创艺简标宋" w:cs="Times New Roman"/>
          <w:color w:val="000000"/>
          <w:sz w:val="48"/>
          <w:szCs w:val="48"/>
        </w:rPr>
      </w:pPr>
      <w:r>
        <w:rPr>
          <w:rFonts w:ascii="Times New Roman" w:hAnsi="Times New Roman" w:eastAsia="方正小标宋简体" w:cs="Times New Roman"/>
          <w:bCs/>
          <w:color w:val="000000"/>
          <w:spacing w:val="15"/>
          <w:sz w:val="48"/>
          <w:szCs w:val="48"/>
        </w:rPr>
        <w:t>2021年单位预算</w:t>
      </w:r>
    </w:p>
    <w:p>
      <w:pPr>
        <w:spacing w:line="530" w:lineRule="exact"/>
        <w:ind w:firstLine="588" w:firstLineChars="196"/>
        <w:rPr>
          <w:rStyle w:val="7"/>
          <w:rFonts w:ascii="Times New Roman" w:hAnsi="Times New Roman" w:cs="Times New Roman"/>
          <w:b w:val="0"/>
          <w:bCs w:val="0"/>
          <w:color w:val="000000"/>
          <w:sz w:val="30"/>
          <w:szCs w:val="30"/>
        </w:rPr>
      </w:pPr>
    </w:p>
    <w:p>
      <w:pPr>
        <w:spacing w:line="530" w:lineRule="exact"/>
        <w:ind w:firstLine="629" w:firstLineChars="196"/>
        <w:rPr>
          <w:rStyle w:val="7"/>
          <w:rFonts w:ascii="Times New Roman" w:hAnsi="Times New Roman" w:eastAsia="黑体" w:cs="Times New Roman"/>
          <w:b w:val="0"/>
          <w:bCs w:val="0"/>
          <w:color w:val="000000"/>
        </w:rPr>
      </w:pPr>
      <w:r>
        <w:rPr>
          <w:rStyle w:val="7"/>
          <w:rFonts w:ascii="Times New Roman" w:hAnsi="Times New Roman" w:eastAsia="黑体" w:cs="Times New Roman"/>
          <w:color w:val="000000"/>
        </w:rPr>
        <w:t>一、</w:t>
      </w:r>
      <w:r>
        <w:rPr>
          <w:rFonts w:ascii="Times New Roman" w:hAnsi="Times New Roman" w:eastAsia="黑体" w:cs="Times New Roman"/>
          <w:b/>
          <w:bCs/>
          <w:color w:val="000000"/>
          <w:sz w:val="32"/>
          <w:szCs w:val="32"/>
        </w:rPr>
        <w:t>金华市</w:t>
      </w:r>
      <w:r>
        <w:rPr>
          <w:rFonts w:hint="eastAsia" w:ascii="Times New Roman" w:hAnsi="Times New Roman" w:eastAsia="黑体" w:cs="Times New Roman"/>
          <w:b/>
          <w:bCs/>
          <w:color w:val="000000"/>
          <w:sz w:val="32"/>
          <w:szCs w:val="32"/>
        </w:rPr>
        <w:t>自然资源和规划技术中心</w:t>
      </w:r>
      <w:r>
        <w:rPr>
          <w:rStyle w:val="7"/>
          <w:rFonts w:ascii="Times New Roman" w:hAnsi="Times New Roman" w:eastAsia="黑体" w:cs="Times New Roman"/>
          <w:color w:val="000000"/>
        </w:rPr>
        <w:t>概况</w:t>
      </w:r>
    </w:p>
    <w:p>
      <w:pPr>
        <w:spacing w:line="530" w:lineRule="exact"/>
        <w:ind w:firstLine="627" w:firstLineChars="196"/>
        <w:rPr>
          <w:rFonts w:ascii="Times New Roman" w:hAnsi="Times New Roman" w:eastAsia="楷体" w:cs="Times New Roman"/>
          <w:color w:val="000000"/>
          <w:sz w:val="32"/>
          <w:szCs w:val="32"/>
        </w:rPr>
      </w:pPr>
      <w:r>
        <w:rPr>
          <w:rFonts w:ascii="Times New Roman" w:hAnsi="Times New Roman" w:eastAsia="楷体" w:cs="Times New Roman"/>
          <w:color w:val="000000"/>
          <w:sz w:val="32"/>
          <w:szCs w:val="32"/>
        </w:rPr>
        <w:t>（一）主要职能</w:t>
      </w:r>
    </w:p>
    <w:p>
      <w:pPr>
        <w:spacing w:line="560" w:lineRule="exact"/>
        <w:ind w:firstLine="960" w:firstLineChars="3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1.承担自然资源和规划管理数字化转型的技术工作.</w:t>
      </w:r>
    </w:p>
    <w:p>
      <w:pPr>
        <w:spacing w:line="560" w:lineRule="exact"/>
        <w:ind w:firstLine="960" w:firstLineChars="3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2.负责编制自然资源信息化发展规划、年度</w:t>
      </w:r>
      <w:r>
        <w:rPr>
          <w:rFonts w:ascii="Times New Roman" w:hAnsi="Times New Roman" w:eastAsia="仿宋_GB2312" w:cs="Times New Roman"/>
          <w:bCs/>
          <w:color w:val="000000"/>
          <w:sz w:val="32"/>
          <w:szCs w:val="32"/>
        </w:rPr>
        <w:t>计划，制定自然资源信息技术标准和工作规范，</w:t>
      </w:r>
      <w:r>
        <w:rPr>
          <w:rFonts w:hint="eastAsia" w:ascii="Times New Roman" w:hAnsi="Times New Roman" w:eastAsia="仿宋_GB2312" w:cs="Times New Roman"/>
          <w:bCs/>
          <w:color w:val="000000"/>
          <w:sz w:val="32"/>
          <w:szCs w:val="32"/>
        </w:rPr>
        <w:t>指导</w:t>
      </w:r>
      <w:r>
        <w:rPr>
          <w:rFonts w:ascii="Times New Roman" w:hAnsi="Times New Roman" w:eastAsia="仿宋_GB2312" w:cs="Times New Roman"/>
          <w:bCs/>
          <w:color w:val="000000"/>
          <w:sz w:val="32"/>
          <w:szCs w:val="32"/>
        </w:rPr>
        <w:t>县（</w:t>
      </w:r>
      <w:r>
        <w:rPr>
          <w:rFonts w:hint="eastAsia" w:ascii="Times New Roman" w:hAnsi="Times New Roman" w:eastAsia="仿宋_GB2312" w:cs="Times New Roman"/>
          <w:bCs/>
          <w:color w:val="000000"/>
          <w:sz w:val="32"/>
          <w:szCs w:val="32"/>
        </w:rPr>
        <w:t>市</w:t>
      </w:r>
      <w:r>
        <w:rPr>
          <w:rFonts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rPr>
        <w:t>区</w:t>
      </w:r>
      <w:r>
        <w:rPr>
          <w:rFonts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rPr>
        <w:t>自然</w:t>
      </w:r>
      <w:r>
        <w:rPr>
          <w:rFonts w:ascii="Times New Roman" w:hAnsi="Times New Roman" w:eastAsia="仿宋_GB2312" w:cs="Times New Roman"/>
          <w:bCs/>
          <w:color w:val="000000"/>
          <w:sz w:val="32"/>
          <w:szCs w:val="32"/>
        </w:rPr>
        <w:t>资源信息化工作。</w:t>
      </w:r>
    </w:p>
    <w:p>
      <w:pPr>
        <w:spacing w:line="560" w:lineRule="exact"/>
        <w:ind w:firstLine="960" w:firstLineChars="3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3.</w:t>
      </w:r>
      <w:r>
        <w:rPr>
          <w:rFonts w:hint="eastAsia" w:ascii="Times New Roman" w:hAnsi="Times New Roman" w:eastAsia="仿宋_GB2312" w:cs="Times New Roman"/>
          <w:bCs/>
          <w:color w:val="000000"/>
          <w:sz w:val="32"/>
          <w:szCs w:val="32"/>
        </w:rPr>
        <w:t>承担</w:t>
      </w:r>
      <w:r>
        <w:rPr>
          <w:rFonts w:ascii="Times New Roman" w:hAnsi="Times New Roman" w:eastAsia="仿宋_GB2312" w:cs="Times New Roman"/>
          <w:bCs/>
          <w:color w:val="000000"/>
          <w:sz w:val="32"/>
          <w:szCs w:val="32"/>
        </w:rPr>
        <w:t>自然资源</w:t>
      </w:r>
      <w:r>
        <w:rPr>
          <w:rFonts w:hint="eastAsia" w:ascii="Times New Roman" w:hAnsi="Times New Roman" w:eastAsia="仿宋_GB2312" w:cs="Times New Roman"/>
          <w:bCs/>
          <w:color w:val="000000"/>
          <w:sz w:val="32"/>
          <w:szCs w:val="32"/>
        </w:rPr>
        <w:t>信息</w:t>
      </w:r>
      <w:r>
        <w:rPr>
          <w:rFonts w:ascii="Times New Roman" w:hAnsi="Times New Roman" w:eastAsia="仿宋_GB2312" w:cs="Times New Roman"/>
          <w:bCs/>
          <w:color w:val="000000"/>
          <w:sz w:val="32"/>
          <w:szCs w:val="32"/>
        </w:rPr>
        <w:t>化建设与应用工作，负责市自然资源和规划局电子政务系统、网络基础设施和公共数据资源库的建设、运行和维护等工作。</w:t>
      </w:r>
    </w:p>
    <w:p>
      <w:pPr>
        <w:spacing w:line="560" w:lineRule="exact"/>
        <w:ind w:firstLine="960" w:firstLineChars="3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4.</w:t>
      </w:r>
      <w:r>
        <w:rPr>
          <w:rFonts w:hint="eastAsia" w:ascii="Times New Roman" w:hAnsi="Times New Roman" w:eastAsia="仿宋_GB2312" w:cs="Times New Roman"/>
          <w:bCs/>
          <w:color w:val="000000"/>
          <w:sz w:val="32"/>
          <w:szCs w:val="32"/>
        </w:rPr>
        <w:t>完成</w:t>
      </w:r>
      <w:r>
        <w:rPr>
          <w:rFonts w:ascii="Times New Roman" w:hAnsi="Times New Roman" w:eastAsia="仿宋_GB2312" w:cs="Times New Roman"/>
          <w:bCs/>
          <w:color w:val="000000"/>
          <w:sz w:val="32"/>
          <w:szCs w:val="32"/>
        </w:rPr>
        <w:t>金华市自然资源和规划局交办的其他任务。</w:t>
      </w:r>
    </w:p>
    <w:p>
      <w:pPr>
        <w:spacing w:line="560" w:lineRule="exact"/>
        <w:ind w:firstLine="960" w:firstLineChars="300"/>
        <w:rPr>
          <w:rFonts w:ascii="Times New Roman" w:hAnsi="Times New Roman" w:eastAsia="楷体" w:cs="Times New Roman"/>
          <w:color w:val="000000"/>
          <w:sz w:val="32"/>
          <w:szCs w:val="32"/>
        </w:rPr>
      </w:pPr>
      <w:r>
        <w:rPr>
          <w:rFonts w:ascii="Times New Roman" w:hAnsi="Times New Roman" w:eastAsia="楷体" w:cs="Times New Roman"/>
          <w:color w:val="000000"/>
          <w:sz w:val="32"/>
          <w:szCs w:val="32"/>
        </w:rPr>
        <w:t>（二）单位机构设置情况</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金华市</w:t>
      </w:r>
      <w:r>
        <w:rPr>
          <w:rFonts w:hint="eastAsia" w:ascii="Times New Roman" w:hAnsi="Times New Roman" w:eastAsia="仿宋_GB2312" w:cs="Times New Roman"/>
          <w:bCs/>
          <w:color w:val="000000"/>
          <w:sz w:val="32"/>
          <w:szCs w:val="32"/>
          <w:lang w:eastAsia="zh-CN"/>
        </w:rPr>
        <w:t>自然资源和规划技术中心</w:t>
      </w:r>
      <w:r>
        <w:rPr>
          <w:rFonts w:hint="default" w:ascii="Times New Roman" w:hAnsi="Times New Roman" w:eastAsia="仿宋_GB2312" w:cs="Times New Roman"/>
          <w:bCs/>
          <w:color w:val="000000"/>
          <w:sz w:val="32"/>
          <w:szCs w:val="32"/>
        </w:rPr>
        <w:t>从预算单位构成看，本单位内设：</w:t>
      </w:r>
      <w:r>
        <w:rPr>
          <w:rFonts w:hint="eastAsia" w:ascii="Times New Roman" w:hAnsi="Times New Roman" w:eastAsia="仿宋_GB2312" w:cs="Times New Roman"/>
          <w:bCs/>
          <w:color w:val="000000"/>
          <w:sz w:val="32"/>
          <w:szCs w:val="32"/>
          <w:lang w:eastAsia="zh-CN"/>
        </w:rPr>
        <w:t>主任室、业务科、综合科，领导职位有主任一名。</w:t>
      </w:r>
    </w:p>
    <w:p>
      <w:pPr>
        <w:spacing w:line="530" w:lineRule="exact"/>
        <w:ind w:firstLine="645"/>
        <w:rPr>
          <w:rFonts w:ascii="Times New Roman" w:hAnsi="Times New Roman" w:eastAsia="楷体" w:cs="Times New Roman"/>
          <w:b/>
          <w:color w:val="000000"/>
          <w:sz w:val="32"/>
          <w:szCs w:val="32"/>
        </w:rPr>
      </w:pPr>
      <w:r>
        <w:rPr>
          <w:rStyle w:val="7"/>
          <w:rFonts w:ascii="Times New Roman" w:hAnsi="Times New Roman" w:eastAsia="黑体" w:cs="Times New Roman"/>
          <w:color w:val="000000"/>
        </w:rPr>
        <w:t>二、金华市</w:t>
      </w:r>
      <w:r>
        <w:rPr>
          <w:rStyle w:val="7"/>
          <w:rFonts w:hint="eastAsia" w:ascii="Times New Roman" w:hAnsi="Times New Roman" w:eastAsia="黑体" w:cs="Times New Roman"/>
          <w:color w:val="000000"/>
        </w:rPr>
        <w:t>自然资源</w:t>
      </w:r>
      <w:r>
        <w:rPr>
          <w:rStyle w:val="7"/>
          <w:rFonts w:ascii="Times New Roman" w:hAnsi="Times New Roman" w:eastAsia="黑体" w:cs="Times New Roman"/>
          <w:color w:val="000000"/>
        </w:rPr>
        <w:t>和规划技术中心2021年预算安排情况说明</w:t>
      </w:r>
    </w:p>
    <w:p>
      <w:pPr>
        <w:spacing w:line="530" w:lineRule="exact"/>
        <w:ind w:firstLine="640" w:firstLineChars="200"/>
        <w:rPr>
          <w:rFonts w:ascii="Times New Roman" w:hAnsi="Times New Roman" w:eastAsia="楷体" w:cs="Times New Roman"/>
          <w:bCs/>
          <w:color w:val="000000"/>
          <w:sz w:val="32"/>
          <w:szCs w:val="32"/>
        </w:rPr>
      </w:pPr>
      <w:r>
        <w:rPr>
          <w:rFonts w:ascii="Times New Roman" w:hAnsi="Times New Roman" w:eastAsia="楷体" w:cs="Times New Roman"/>
          <w:color w:val="000000"/>
          <w:sz w:val="32"/>
          <w:szCs w:val="32"/>
        </w:rPr>
        <w:t>（一）关于</w:t>
      </w:r>
      <w:r>
        <w:rPr>
          <w:rFonts w:ascii="Times New Roman" w:hAnsi="Times New Roman" w:eastAsia="楷体" w:cs="Times New Roman"/>
          <w:bCs/>
          <w:color w:val="000000"/>
          <w:sz w:val="32"/>
          <w:szCs w:val="32"/>
        </w:rPr>
        <w:t>2021</w:t>
      </w:r>
      <w:r>
        <w:rPr>
          <w:rFonts w:hint="eastAsia" w:ascii="Times New Roman" w:hAnsi="Times New Roman" w:eastAsia="楷体" w:cs="Times New Roman"/>
          <w:bCs/>
          <w:color w:val="000000"/>
          <w:sz w:val="32"/>
          <w:szCs w:val="32"/>
        </w:rPr>
        <w:t>金华市</w:t>
      </w:r>
      <w:r>
        <w:rPr>
          <w:rFonts w:ascii="Times New Roman" w:hAnsi="Times New Roman" w:eastAsia="楷体" w:cs="Times New Roman"/>
          <w:bCs/>
          <w:color w:val="000000"/>
          <w:sz w:val="32"/>
          <w:szCs w:val="32"/>
        </w:rPr>
        <w:t>自然资源和规划技术中心年收支预算情况的总体说明</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按照综合预算的原则，金华市</w:t>
      </w:r>
      <w:r>
        <w:rPr>
          <w:rFonts w:ascii="Times New Roman" w:hAnsi="Times New Roman" w:eastAsia="楷体" w:cs="Times New Roman"/>
          <w:bCs/>
          <w:color w:val="000000"/>
          <w:sz w:val="32"/>
          <w:szCs w:val="32"/>
        </w:rPr>
        <w:t>自然资源和规划技术中心</w:t>
      </w:r>
      <w:r>
        <w:rPr>
          <w:rFonts w:ascii="Times New Roman" w:hAnsi="Times New Roman" w:eastAsia="仿宋_GB2312" w:cs="Times New Roman"/>
          <w:bCs/>
          <w:color w:val="000000"/>
          <w:sz w:val="32"/>
          <w:szCs w:val="32"/>
        </w:rPr>
        <w:t>所有收入和支出均纳入部门(单位)预算管理。</w:t>
      </w:r>
      <w:r>
        <w:rPr>
          <w:rFonts w:hint="default" w:ascii="Times New Roman" w:hAnsi="Times New Roman" w:eastAsia="仿宋_GB2312" w:cs="Times New Roman"/>
          <w:bCs/>
          <w:color w:val="000000"/>
          <w:sz w:val="32"/>
          <w:szCs w:val="32"/>
        </w:rPr>
        <w:t>收入包括：一般公共预算拨款收入、政府性基金预算收入、</w:t>
      </w:r>
      <w:r>
        <w:rPr>
          <w:rFonts w:hint="eastAsia" w:ascii="Times New Roman" w:hAnsi="Times New Roman" w:eastAsia="仿宋_GB2312" w:cs="Times New Roman"/>
          <w:bCs/>
          <w:color w:val="000000"/>
          <w:sz w:val="32"/>
          <w:szCs w:val="32"/>
          <w:lang w:eastAsia="zh-CN"/>
        </w:rPr>
        <w:t>国有资本经营预算收入、</w:t>
      </w:r>
      <w:r>
        <w:rPr>
          <w:rFonts w:hint="default" w:ascii="Times New Roman" w:hAnsi="Times New Roman" w:eastAsia="仿宋_GB2312" w:cs="Times New Roman"/>
          <w:bCs/>
          <w:color w:val="000000"/>
          <w:sz w:val="32"/>
          <w:szCs w:val="32"/>
        </w:rPr>
        <w:t>财政专户管理的资金、</w:t>
      </w:r>
      <w:r>
        <w:rPr>
          <w:rFonts w:hint="eastAsia" w:ascii="Times New Roman" w:hAnsi="Times New Roman" w:eastAsia="仿宋_GB2312" w:cs="Times New Roman"/>
          <w:bCs/>
          <w:color w:val="000000"/>
          <w:sz w:val="32"/>
          <w:szCs w:val="32"/>
          <w:lang w:eastAsia="zh-CN"/>
        </w:rPr>
        <w:t>事业收入、上级补助收入、附属单位上缴收入、事业单位经营收入、其他收入、单位其他资金。</w:t>
      </w:r>
      <w:r>
        <w:rPr>
          <w:rFonts w:hint="default" w:ascii="Times New Roman" w:hAnsi="Times New Roman" w:eastAsia="仿宋_GB2312" w:cs="Times New Roman"/>
          <w:bCs/>
          <w:color w:val="000000"/>
          <w:sz w:val="32"/>
          <w:szCs w:val="32"/>
        </w:rPr>
        <w:t>支出包括：</w:t>
      </w:r>
      <w:r>
        <w:rPr>
          <w:rFonts w:hint="eastAsia" w:ascii="Times New Roman" w:hAnsi="Times New Roman" w:eastAsia="仿宋_GB2312" w:cs="Times New Roman"/>
          <w:bCs/>
          <w:color w:val="000000"/>
          <w:sz w:val="32"/>
          <w:szCs w:val="32"/>
          <w:lang w:eastAsia="zh-CN"/>
        </w:rPr>
        <w:t>教育支出、社会保障和就业支出、卫生健康支出、城乡社区支出、住房保障支出。</w:t>
      </w:r>
      <w:r>
        <w:rPr>
          <w:rFonts w:ascii="Times New Roman" w:hAnsi="Times New Roman" w:eastAsia="仿宋_GB2312" w:cs="Times New Roman"/>
          <w:bCs/>
          <w:color w:val="000000"/>
          <w:sz w:val="32"/>
          <w:szCs w:val="32"/>
        </w:rPr>
        <w:t>金华市</w:t>
      </w:r>
      <w:r>
        <w:rPr>
          <w:rFonts w:ascii="Times New Roman" w:hAnsi="Times New Roman" w:eastAsia="楷体" w:cs="Times New Roman"/>
          <w:bCs/>
          <w:color w:val="000000"/>
          <w:sz w:val="32"/>
          <w:szCs w:val="32"/>
        </w:rPr>
        <w:t>自然资源和规划技术中心</w:t>
      </w:r>
      <w:r>
        <w:rPr>
          <w:rFonts w:ascii="Times New Roman" w:hAnsi="Times New Roman" w:eastAsia="仿宋_GB2312" w:cs="Times New Roman"/>
          <w:bCs/>
          <w:color w:val="000000"/>
          <w:sz w:val="32"/>
          <w:szCs w:val="32"/>
        </w:rPr>
        <w:t>2021年收支总预算213.26万元。</w:t>
      </w:r>
    </w:p>
    <w:p>
      <w:pPr>
        <w:spacing w:line="530" w:lineRule="exact"/>
        <w:ind w:firstLine="640" w:firstLineChars="200"/>
        <w:rPr>
          <w:rFonts w:ascii="Times New Roman" w:hAnsi="Times New Roman" w:eastAsia="楷体" w:cs="Times New Roman"/>
          <w:color w:val="000000"/>
          <w:sz w:val="32"/>
          <w:szCs w:val="32"/>
        </w:rPr>
      </w:pPr>
      <w:r>
        <w:rPr>
          <w:rFonts w:ascii="Times New Roman" w:hAnsi="Times New Roman" w:eastAsia="楷体" w:cs="Times New Roman"/>
          <w:color w:val="000000"/>
          <w:sz w:val="32"/>
          <w:szCs w:val="32"/>
        </w:rPr>
        <w:t>（二）关于</w:t>
      </w:r>
      <w:r>
        <w:rPr>
          <w:rFonts w:ascii="Times New Roman" w:hAnsi="Times New Roman" w:eastAsia="楷体" w:cs="Times New Roman"/>
          <w:bCs/>
          <w:color w:val="000000"/>
          <w:sz w:val="32"/>
          <w:szCs w:val="32"/>
        </w:rPr>
        <w:t>自然资源和规划技术中心2021年</w:t>
      </w:r>
      <w:r>
        <w:rPr>
          <w:rFonts w:ascii="Times New Roman" w:hAnsi="Times New Roman" w:eastAsia="楷体" w:cs="Times New Roman"/>
          <w:color w:val="000000"/>
          <w:sz w:val="32"/>
          <w:szCs w:val="32"/>
        </w:rPr>
        <w:t>收入预算情况说明</w:t>
      </w:r>
    </w:p>
    <w:p>
      <w:pPr>
        <w:spacing w:line="560" w:lineRule="exact"/>
        <w:ind w:firstLine="640" w:firstLineChars="200"/>
        <w:rPr>
          <w:rFonts w:hint="eastAsia" w:ascii="Times New Roman" w:hAnsi="Times New Roman" w:eastAsia="仿宋_GB2312" w:cs="Times New Roman"/>
          <w:bCs/>
          <w:color w:val="000000"/>
          <w:sz w:val="32"/>
          <w:szCs w:val="32"/>
          <w:lang w:eastAsia="zh-CN"/>
        </w:rPr>
      </w:pPr>
      <w:r>
        <w:rPr>
          <w:rFonts w:hint="default" w:ascii="Times New Roman" w:hAnsi="Times New Roman" w:eastAsia="仿宋_GB2312" w:cs="Times New Roman"/>
          <w:bCs/>
          <w:color w:val="000000"/>
          <w:sz w:val="32"/>
          <w:szCs w:val="32"/>
        </w:rPr>
        <w:t>金华市</w:t>
      </w:r>
      <w:r>
        <w:rPr>
          <w:rFonts w:hint="eastAsia" w:ascii="Times New Roman" w:hAnsi="Times New Roman" w:eastAsia="仿宋_GB2312" w:cs="Times New Roman"/>
          <w:bCs/>
          <w:color w:val="000000"/>
          <w:sz w:val="32"/>
          <w:szCs w:val="32"/>
          <w:lang w:eastAsia="zh-CN"/>
        </w:rPr>
        <w:t>自然资源和规划技术中心</w:t>
      </w:r>
      <w:r>
        <w:rPr>
          <w:rFonts w:hint="default" w:ascii="Times New Roman" w:hAnsi="Times New Roman" w:eastAsia="仿宋_GB2312" w:cs="Times New Roman"/>
          <w:bCs/>
          <w:color w:val="000000"/>
          <w:sz w:val="32"/>
          <w:szCs w:val="32"/>
          <w:lang w:eastAsia="zh-CN"/>
        </w:rPr>
        <w:t>2021</w:t>
      </w:r>
      <w:r>
        <w:rPr>
          <w:rFonts w:hint="default" w:ascii="Times New Roman" w:hAnsi="Times New Roman" w:eastAsia="仿宋_GB2312" w:cs="Times New Roman"/>
          <w:bCs/>
          <w:color w:val="000000"/>
          <w:sz w:val="32"/>
          <w:szCs w:val="32"/>
        </w:rPr>
        <w:t>年收入预算</w:t>
      </w:r>
      <w:r>
        <w:rPr>
          <w:rFonts w:hint="eastAsia" w:ascii="Times New Roman" w:hAnsi="Times New Roman" w:eastAsia="仿宋_GB2312" w:cs="Times New Roman"/>
          <w:bCs/>
          <w:color w:val="000000"/>
          <w:sz w:val="32"/>
          <w:szCs w:val="32"/>
          <w:lang w:val="en-US" w:eastAsia="zh-CN"/>
        </w:rPr>
        <w:t>213.26</w:t>
      </w:r>
      <w:r>
        <w:rPr>
          <w:rFonts w:hint="default" w:ascii="Times New Roman" w:hAnsi="Times New Roman" w:eastAsia="仿宋_GB2312" w:cs="Times New Roman"/>
          <w:bCs/>
          <w:color w:val="000000"/>
          <w:sz w:val="32"/>
          <w:szCs w:val="32"/>
        </w:rPr>
        <w:t>万元，其中：上年结转</w:t>
      </w:r>
      <w:r>
        <w:rPr>
          <w:rFonts w:hint="eastAsia" w:ascii="Times New Roman" w:hAnsi="Times New Roman" w:eastAsia="仿宋_GB2312" w:cs="Times New Roman"/>
          <w:bCs/>
          <w:color w:val="000000"/>
          <w:sz w:val="32"/>
          <w:szCs w:val="32"/>
          <w:lang w:val="en-US" w:eastAsia="zh-CN"/>
        </w:rPr>
        <w:t>0</w:t>
      </w:r>
      <w:r>
        <w:rPr>
          <w:rFonts w:hint="default"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lang w:val="en-US" w:eastAsia="zh-CN"/>
        </w:rPr>
        <w:t>0</w:t>
      </w:r>
      <w:r>
        <w:rPr>
          <w:rFonts w:hint="default" w:ascii="Times New Roman" w:hAnsi="Times New Roman" w:eastAsia="仿宋_GB2312" w:cs="Times New Roman"/>
          <w:bCs/>
          <w:color w:val="000000"/>
          <w:sz w:val="32"/>
          <w:szCs w:val="32"/>
        </w:rPr>
        <w:t>%;一般公共预算拨款收入</w:t>
      </w:r>
      <w:r>
        <w:rPr>
          <w:rFonts w:hint="eastAsia" w:ascii="Times New Roman" w:hAnsi="Times New Roman" w:eastAsia="仿宋_GB2312" w:cs="Times New Roman"/>
          <w:bCs/>
          <w:color w:val="000000"/>
          <w:sz w:val="32"/>
          <w:szCs w:val="32"/>
          <w:lang w:val="en-US" w:eastAsia="zh-CN"/>
        </w:rPr>
        <w:t>213.26</w:t>
      </w:r>
      <w:r>
        <w:rPr>
          <w:rFonts w:hint="default"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lang w:val="en-US" w:eastAsia="zh-CN"/>
        </w:rPr>
        <w:t>100</w:t>
      </w:r>
      <w:r>
        <w:rPr>
          <w:rFonts w:hint="default"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lang w:eastAsia="zh-CN"/>
        </w:rPr>
        <w:t>。</w:t>
      </w:r>
    </w:p>
    <w:p>
      <w:pPr>
        <w:spacing w:line="530" w:lineRule="exact"/>
        <w:ind w:firstLine="640" w:firstLineChars="200"/>
        <w:rPr>
          <w:rFonts w:ascii="Times New Roman" w:hAnsi="Times New Roman" w:eastAsia="仿宋_GB2312" w:cs="Times New Roman"/>
          <w:color w:val="000000"/>
          <w:sz w:val="32"/>
          <w:szCs w:val="32"/>
        </w:rPr>
      </w:pPr>
      <w:r>
        <w:rPr>
          <w:rFonts w:ascii="Times New Roman" w:hAnsi="Times New Roman" w:eastAsia="楷体" w:cs="Times New Roman"/>
          <w:color w:val="000000"/>
          <w:sz w:val="32"/>
          <w:szCs w:val="32"/>
        </w:rPr>
        <w:t>（三）关于</w:t>
      </w:r>
      <w:r>
        <w:rPr>
          <w:rFonts w:ascii="Times New Roman" w:hAnsi="Times New Roman" w:eastAsia="楷体" w:cs="Times New Roman"/>
          <w:bCs/>
          <w:color w:val="000000"/>
          <w:sz w:val="32"/>
          <w:szCs w:val="32"/>
        </w:rPr>
        <w:t>自然资源和规划技术中心2021年</w:t>
      </w:r>
      <w:r>
        <w:rPr>
          <w:rFonts w:ascii="Times New Roman" w:hAnsi="Times New Roman" w:eastAsia="楷体" w:cs="Times New Roman"/>
          <w:color w:val="000000"/>
          <w:sz w:val="32"/>
          <w:szCs w:val="32"/>
        </w:rPr>
        <w:t>支出预算情况说明</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金华市</w:t>
      </w:r>
      <w:r>
        <w:rPr>
          <w:rFonts w:ascii="Times New Roman" w:hAnsi="Times New Roman" w:eastAsia="楷体" w:cs="Times New Roman"/>
          <w:bCs/>
          <w:color w:val="000000"/>
          <w:sz w:val="32"/>
          <w:szCs w:val="32"/>
        </w:rPr>
        <w:t>自然资源和规划技术中心</w:t>
      </w:r>
      <w:r>
        <w:rPr>
          <w:rFonts w:ascii="Times New Roman" w:hAnsi="Times New Roman" w:eastAsia="仿宋_GB2312" w:cs="Times New Roman"/>
          <w:bCs/>
          <w:color w:val="000000"/>
          <w:sz w:val="32"/>
          <w:szCs w:val="32"/>
        </w:rPr>
        <w:t>2021年支出预算213.26万元。</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1.按支出功能分类，包括</w:t>
      </w:r>
      <w:r>
        <w:rPr>
          <w:rFonts w:hint="eastAsia" w:ascii="Times New Roman" w:hAnsi="Times New Roman" w:eastAsia="仿宋_GB2312" w:cs="Times New Roman"/>
          <w:bCs/>
          <w:color w:val="000000"/>
          <w:sz w:val="32"/>
          <w:szCs w:val="32"/>
        </w:rPr>
        <w:t>教育支出1.7万</w:t>
      </w:r>
      <w:r>
        <w:rPr>
          <w:rFonts w:ascii="Times New Roman" w:hAnsi="Times New Roman" w:eastAsia="仿宋_GB2312" w:cs="Times New Roman"/>
          <w:bCs/>
          <w:color w:val="000000"/>
          <w:sz w:val="32"/>
          <w:szCs w:val="32"/>
        </w:rPr>
        <w:t>元、社会保障和就业支出</w:t>
      </w:r>
      <w:r>
        <w:rPr>
          <w:rFonts w:hint="eastAsia" w:ascii="Times New Roman" w:hAnsi="Times New Roman" w:eastAsia="仿宋_GB2312" w:cs="Times New Roman"/>
          <w:bCs/>
          <w:color w:val="000000"/>
          <w:sz w:val="32"/>
          <w:szCs w:val="32"/>
        </w:rPr>
        <w:t>13.59万元</w:t>
      </w:r>
      <w:r>
        <w:rPr>
          <w:rFonts w:ascii="Times New Roman" w:hAnsi="Times New Roman" w:eastAsia="仿宋_GB2312" w:cs="Times New Roman"/>
          <w:bCs/>
          <w:color w:val="000000"/>
          <w:sz w:val="32"/>
          <w:szCs w:val="32"/>
        </w:rPr>
        <w:t>、卫生健康支出</w:t>
      </w:r>
      <w:r>
        <w:rPr>
          <w:rFonts w:hint="eastAsia" w:ascii="Times New Roman" w:hAnsi="Times New Roman" w:eastAsia="仿宋_GB2312" w:cs="Times New Roman"/>
          <w:bCs/>
          <w:color w:val="000000"/>
          <w:sz w:val="32"/>
          <w:szCs w:val="32"/>
        </w:rPr>
        <w:t>5.38万元</w:t>
      </w:r>
      <w:r>
        <w:rPr>
          <w:rFonts w:ascii="Times New Roman" w:hAnsi="Times New Roman" w:eastAsia="仿宋_GB2312" w:cs="Times New Roman"/>
          <w:bCs/>
          <w:color w:val="000000"/>
          <w:sz w:val="32"/>
          <w:szCs w:val="32"/>
        </w:rPr>
        <w:t>、城乡社区支出</w:t>
      </w:r>
      <w:r>
        <w:rPr>
          <w:rFonts w:hint="eastAsia" w:ascii="Times New Roman" w:hAnsi="Times New Roman" w:eastAsia="仿宋_GB2312" w:cs="Times New Roman"/>
          <w:bCs/>
          <w:color w:val="000000"/>
          <w:sz w:val="32"/>
          <w:szCs w:val="32"/>
        </w:rPr>
        <w:t>176.21万元</w:t>
      </w:r>
      <w:r>
        <w:rPr>
          <w:rFonts w:ascii="Times New Roman" w:hAnsi="Times New Roman" w:eastAsia="仿宋_GB2312" w:cs="Times New Roman"/>
          <w:bCs/>
          <w:color w:val="000000"/>
          <w:sz w:val="32"/>
          <w:szCs w:val="32"/>
        </w:rPr>
        <w:t>、住房保障支出</w:t>
      </w:r>
      <w:r>
        <w:rPr>
          <w:rFonts w:hint="eastAsia" w:ascii="Times New Roman" w:hAnsi="Times New Roman" w:eastAsia="仿宋_GB2312" w:cs="Times New Roman"/>
          <w:bCs/>
          <w:color w:val="000000"/>
          <w:sz w:val="32"/>
          <w:szCs w:val="32"/>
        </w:rPr>
        <w:t>16.38万元。</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2.按支出用途分类，包括人员支出173.85万元，占81.5%；日常公用支出17.41万元，占8.2%；项目支出22万元，占10.3%。</w:t>
      </w:r>
    </w:p>
    <w:p>
      <w:pPr>
        <w:spacing w:beforeLines="0" w:afterLines="0" w:line="560" w:lineRule="exact"/>
        <w:ind w:firstLine="640" w:firstLineChars="200"/>
        <w:rPr>
          <w:rFonts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结转下年</w:t>
      </w:r>
      <w:r>
        <w:rPr>
          <w:rFonts w:hint="eastAsia" w:ascii="Times New Roman" w:hAnsi="Times New Roman" w:eastAsia="仿宋_GB2312" w:cs="Times New Roman"/>
          <w:bCs/>
          <w:color w:val="000000"/>
          <w:sz w:val="32"/>
          <w:szCs w:val="32"/>
          <w:lang w:val="en-US" w:eastAsia="zh-CN"/>
        </w:rPr>
        <w:t>0</w:t>
      </w:r>
      <w:r>
        <w:rPr>
          <w:rFonts w:hint="default" w:ascii="Times New Roman" w:hAnsi="Times New Roman" w:eastAsia="仿宋_GB2312" w:cs="Times New Roman"/>
          <w:bCs/>
          <w:color w:val="000000"/>
          <w:sz w:val="32"/>
          <w:szCs w:val="32"/>
        </w:rPr>
        <w:t>万元。</w:t>
      </w:r>
    </w:p>
    <w:p>
      <w:pPr>
        <w:spacing w:line="530" w:lineRule="exact"/>
        <w:ind w:firstLine="640" w:firstLineChars="200"/>
        <w:rPr>
          <w:rFonts w:ascii="Times New Roman" w:hAnsi="Times New Roman" w:eastAsia="楷体" w:cs="Times New Roman"/>
          <w:color w:val="000000"/>
          <w:sz w:val="32"/>
          <w:szCs w:val="32"/>
        </w:rPr>
      </w:pPr>
      <w:r>
        <w:rPr>
          <w:rFonts w:ascii="Times New Roman" w:hAnsi="Times New Roman" w:eastAsia="楷体" w:cs="Times New Roman"/>
          <w:color w:val="000000"/>
          <w:sz w:val="32"/>
          <w:szCs w:val="32"/>
        </w:rPr>
        <w:t>（四）关于</w:t>
      </w:r>
      <w:r>
        <w:rPr>
          <w:rFonts w:ascii="Times New Roman" w:hAnsi="Times New Roman" w:eastAsia="楷体" w:cs="Times New Roman"/>
          <w:bCs/>
          <w:color w:val="000000"/>
          <w:sz w:val="32"/>
          <w:szCs w:val="32"/>
        </w:rPr>
        <w:t>自然资源和规划技术中心</w:t>
      </w:r>
      <w:r>
        <w:rPr>
          <w:rFonts w:ascii="Times New Roman" w:hAnsi="Times New Roman" w:eastAsia="楷体" w:cs="Times New Roman"/>
          <w:color w:val="000000"/>
          <w:sz w:val="32"/>
          <w:szCs w:val="32"/>
        </w:rPr>
        <w:t>2021年财政拨款收支预算情况的总体说明</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金华市</w:t>
      </w:r>
      <w:r>
        <w:rPr>
          <w:rFonts w:ascii="Times New Roman" w:hAnsi="Times New Roman" w:eastAsia="楷体" w:cs="Times New Roman"/>
          <w:bCs/>
          <w:color w:val="000000"/>
          <w:sz w:val="32"/>
          <w:szCs w:val="32"/>
        </w:rPr>
        <w:t>自然资源和规划技术中心</w:t>
      </w:r>
      <w:r>
        <w:rPr>
          <w:rFonts w:ascii="Times New Roman" w:hAnsi="Times New Roman" w:eastAsia="仿宋_GB2312" w:cs="Times New Roman"/>
          <w:bCs/>
          <w:color w:val="000000"/>
          <w:sz w:val="32"/>
          <w:szCs w:val="32"/>
        </w:rPr>
        <w:t>2021年财政拨款收支总预算213.26万元。收入包括：一般公共预算213.26万元</w:t>
      </w:r>
      <w:r>
        <w:rPr>
          <w:rFonts w:hint="eastAsia" w:ascii="Times New Roman" w:hAnsi="Times New Roman" w:eastAsia="仿宋_GB2312" w:cs="Times New Roman"/>
          <w:bCs/>
          <w:color w:val="000000"/>
          <w:sz w:val="32"/>
          <w:szCs w:val="32"/>
        </w:rPr>
        <w:t>；</w:t>
      </w:r>
      <w:r>
        <w:rPr>
          <w:rFonts w:ascii="Times New Roman" w:hAnsi="Times New Roman" w:eastAsia="仿宋_GB2312" w:cs="Times New Roman"/>
          <w:bCs/>
          <w:color w:val="000000"/>
          <w:sz w:val="32"/>
          <w:szCs w:val="32"/>
        </w:rPr>
        <w:t>支出包括：</w:t>
      </w:r>
      <w:r>
        <w:rPr>
          <w:rFonts w:hint="eastAsia" w:ascii="Times New Roman" w:hAnsi="Times New Roman" w:eastAsia="仿宋_GB2312" w:cs="Times New Roman"/>
          <w:bCs/>
          <w:color w:val="000000"/>
          <w:sz w:val="32"/>
          <w:szCs w:val="32"/>
        </w:rPr>
        <w:t>教育支出1.7万</w:t>
      </w:r>
      <w:r>
        <w:rPr>
          <w:rFonts w:ascii="Times New Roman" w:hAnsi="Times New Roman" w:eastAsia="仿宋_GB2312" w:cs="Times New Roman"/>
          <w:bCs/>
          <w:color w:val="000000"/>
          <w:sz w:val="32"/>
          <w:szCs w:val="32"/>
        </w:rPr>
        <w:t>元、社会保障和就业支出</w:t>
      </w:r>
      <w:r>
        <w:rPr>
          <w:rFonts w:hint="eastAsia" w:ascii="Times New Roman" w:hAnsi="Times New Roman" w:eastAsia="仿宋_GB2312" w:cs="Times New Roman"/>
          <w:bCs/>
          <w:color w:val="000000"/>
          <w:sz w:val="32"/>
          <w:szCs w:val="32"/>
        </w:rPr>
        <w:t>13.59万元</w:t>
      </w:r>
      <w:r>
        <w:rPr>
          <w:rFonts w:ascii="Times New Roman" w:hAnsi="Times New Roman" w:eastAsia="仿宋_GB2312" w:cs="Times New Roman"/>
          <w:bCs/>
          <w:color w:val="000000"/>
          <w:sz w:val="32"/>
          <w:szCs w:val="32"/>
        </w:rPr>
        <w:t>、卫生健康支出</w:t>
      </w:r>
      <w:r>
        <w:rPr>
          <w:rFonts w:hint="eastAsia" w:ascii="Times New Roman" w:hAnsi="Times New Roman" w:eastAsia="仿宋_GB2312" w:cs="Times New Roman"/>
          <w:bCs/>
          <w:color w:val="000000"/>
          <w:sz w:val="32"/>
          <w:szCs w:val="32"/>
        </w:rPr>
        <w:t>5.38万元</w:t>
      </w:r>
      <w:r>
        <w:rPr>
          <w:rFonts w:ascii="Times New Roman" w:hAnsi="Times New Roman" w:eastAsia="仿宋_GB2312" w:cs="Times New Roman"/>
          <w:bCs/>
          <w:color w:val="000000"/>
          <w:sz w:val="32"/>
          <w:szCs w:val="32"/>
        </w:rPr>
        <w:t>、城乡社区支出</w:t>
      </w:r>
      <w:r>
        <w:rPr>
          <w:rFonts w:hint="eastAsia" w:ascii="Times New Roman" w:hAnsi="Times New Roman" w:eastAsia="仿宋_GB2312" w:cs="Times New Roman"/>
          <w:bCs/>
          <w:color w:val="000000"/>
          <w:sz w:val="32"/>
          <w:szCs w:val="32"/>
        </w:rPr>
        <w:t>176.21万元</w:t>
      </w:r>
      <w:r>
        <w:rPr>
          <w:rFonts w:ascii="Times New Roman" w:hAnsi="Times New Roman" w:eastAsia="仿宋_GB2312" w:cs="Times New Roman"/>
          <w:bCs/>
          <w:color w:val="000000"/>
          <w:sz w:val="32"/>
          <w:szCs w:val="32"/>
        </w:rPr>
        <w:t>、住房保障支出</w:t>
      </w:r>
      <w:r>
        <w:rPr>
          <w:rFonts w:hint="eastAsia" w:ascii="Times New Roman" w:hAnsi="Times New Roman" w:eastAsia="仿宋_GB2312" w:cs="Times New Roman"/>
          <w:bCs/>
          <w:color w:val="000000"/>
          <w:sz w:val="32"/>
          <w:szCs w:val="32"/>
        </w:rPr>
        <w:t>16.38万元。</w:t>
      </w:r>
    </w:p>
    <w:p>
      <w:pPr>
        <w:numPr>
          <w:ilvl w:val="0"/>
          <w:numId w:val="1"/>
        </w:numPr>
        <w:spacing w:line="530" w:lineRule="exact"/>
        <w:ind w:firstLine="640" w:firstLineChars="200"/>
        <w:rPr>
          <w:rFonts w:ascii="Times New Roman" w:hAnsi="Times New Roman" w:eastAsia="楷体" w:cs="Times New Roman"/>
          <w:color w:val="000000"/>
          <w:sz w:val="32"/>
          <w:szCs w:val="32"/>
        </w:rPr>
      </w:pPr>
      <w:r>
        <w:rPr>
          <w:rFonts w:ascii="Times New Roman" w:hAnsi="Times New Roman" w:eastAsia="楷体" w:cs="Times New Roman"/>
          <w:color w:val="000000"/>
          <w:sz w:val="32"/>
          <w:szCs w:val="32"/>
        </w:rPr>
        <w:t>关于</w:t>
      </w:r>
      <w:r>
        <w:rPr>
          <w:rFonts w:ascii="Times New Roman" w:hAnsi="Times New Roman" w:eastAsia="楷体" w:cs="Times New Roman"/>
          <w:bCs/>
          <w:color w:val="000000"/>
          <w:sz w:val="32"/>
          <w:szCs w:val="32"/>
        </w:rPr>
        <w:t>自然资源和规划技术中心2021年</w:t>
      </w:r>
      <w:r>
        <w:rPr>
          <w:rFonts w:ascii="Times New Roman" w:hAnsi="Times New Roman" w:eastAsia="楷体" w:cs="Times New Roman"/>
          <w:color w:val="000000"/>
          <w:sz w:val="32"/>
          <w:szCs w:val="32"/>
        </w:rPr>
        <w:t>一般公共预算当年拨款情况说明</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1.一般公共预算当年拨款规模变化情况。</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金华市</w:t>
      </w:r>
      <w:r>
        <w:rPr>
          <w:rFonts w:ascii="Times New Roman" w:hAnsi="Times New Roman" w:eastAsia="楷体" w:cs="Times New Roman"/>
          <w:bCs/>
          <w:color w:val="000000"/>
          <w:sz w:val="32"/>
          <w:szCs w:val="32"/>
        </w:rPr>
        <w:t>自然资源和规划技术中心</w:t>
      </w:r>
      <w:r>
        <w:rPr>
          <w:rFonts w:ascii="Times New Roman" w:hAnsi="Times New Roman" w:eastAsia="仿宋_GB2312" w:cs="Times New Roman"/>
          <w:bCs/>
          <w:color w:val="000000"/>
          <w:sz w:val="32"/>
          <w:szCs w:val="32"/>
        </w:rPr>
        <w:t>2021年一般公共预算当年拨款213.26万元，比2020年执行数增加</w:t>
      </w:r>
      <w:r>
        <w:rPr>
          <w:rFonts w:hint="eastAsia" w:ascii="Times New Roman" w:hAnsi="Times New Roman" w:eastAsia="仿宋_GB2312" w:cs="Times New Roman"/>
          <w:bCs/>
          <w:color w:val="000000"/>
          <w:sz w:val="32"/>
          <w:szCs w:val="32"/>
        </w:rPr>
        <w:t>11.33</w:t>
      </w:r>
      <w:r>
        <w:rPr>
          <w:rFonts w:ascii="Times New Roman" w:hAnsi="Times New Roman" w:eastAsia="仿宋_GB2312" w:cs="Times New Roman"/>
          <w:bCs/>
          <w:color w:val="000000"/>
          <w:sz w:val="32"/>
          <w:szCs w:val="32"/>
        </w:rPr>
        <w:t>万元，主要是</w:t>
      </w:r>
      <w:r>
        <w:rPr>
          <w:rFonts w:hint="eastAsia" w:ascii="Times New Roman" w:hAnsi="Times New Roman" w:eastAsia="仿宋_GB2312" w:cs="Times New Roman"/>
          <w:bCs/>
          <w:color w:val="000000"/>
          <w:sz w:val="32"/>
          <w:szCs w:val="32"/>
        </w:rPr>
        <w:t>人员</w:t>
      </w:r>
      <w:r>
        <w:rPr>
          <w:rFonts w:ascii="Times New Roman" w:hAnsi="Times New Roman" w:eastAsia="仿宋_GB2312" w:cs="Times New Roman"/>
          <w:bCs/>
          <w:color w:val="000000"/>
          <w:sz w:val="32"/>
          <w:szCs w:val="32"/>
        </w:rPr>
        <w:t>经费增加了</w:t>
      </w:r>
      <w:r>
        <w:rPr>
          <w:rFonts w:hint="eastAsia" w:ascii="Times New Roman" w:hAnsi="Times New Roman" w:eastAsia="仿宋_GB2312" w:cs="Times New Roman"/>
          <w:bCs/>
          <w:color w:val="000000"/>
          <w:sz w:val="32"/>
          <w:szCs w:val="32"/>
        </w:rPr>
        <w:t>11.3万元</w:t>
      </w:r>
      <w:r>
        <w:rPr>
          <w:rFonts w:ascii="Times New Roman" w:hAnsi="Times New Roman" w:eastAsia="仿宋_GB2312" w:cs="Times New Roman"/>
          <w:bCs/>
          <w:color w:val="000000"/>
          <w:sz w:val="32"/>
          <w:szCs w:val="32"/>
        </w:rPr>
        <w:t>、公共经费增加了</w:t>
      </w:r>
      <w:r>
        <w:rPr>
          <w:rFonts w:hint="eastAsia" w:ascii="Times New Roman" w:hAnsi="Times New Roman" w:eastAsia="仿宋_GB2312" w:cs="Times New Roman"/>
          <w:bCs/>
          <w:color w:val="000000"/>
          <w:sz w:val="32"/>
          <w:szCs w:val="32"/>
        </w:rPr>
        <w:t>0.03万元</w:t>
      </w:r>
      <w:r>
        <w:rPr>
          <w:rFonts w:ascii="Times New Roman" w:hAnsi="Times New Roman" w:eastAsia="仿宋_GB2312" w:cs="Times New Roman"/>
          <w:bCs/>
          <w:color w:val="000000"/>
          <w:sz w:val="32"/>
          <w:szCs w:val="32"/>
        </w:rPr>
        <w:t>。</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2.一般公共预算当年拨款结构情况。</w:t>
      </w:r>
    </w:p>
    <w:p>
      <w:pPr>
        <w:spacing w:line="560" w:lineRule="exact"/>
        <w:ind w:firstLine="640" w:firstLineChars="2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教育</w:t>
      </w:r>
      <w:r>
        <w:rPr>
          <w:rFonts w:ascii="Times New Roman" w:hAnsi="Times New Roman" w:eastAsia="仿宋_GB2312" w:cs="Times New Roman"/>
          <w:bCs/>
          <w:color w:val="000000"/>
          <w:sz w:val="32"/>
          <w:szCs w:val="32"/>
        </w:rPr>
        <w:t>支出</w:t>
      </w:r>
      <w:r>
        <w:rPr>
          <w:rFonts w:hint="eastAsia" w:ascii="Times New Roman" w:hAnsi="Times New Roman" w:eastAsia="仿宋_GB2312" w:cs="Times New Roman"/>
          <w:bCs/>
          <w:color w:val="000000"/>
          <w:sz w:val="32"/>
          <w:szCs w:val="32"/>
        </w:rPr>
        <w:t>1.7万元</w:t>
      </w:r>
      <w:r>
        <w:rPr>
          <w:rFonts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rPr>
        <w:t>占0.8</w:t>
      </w:r>
      <w:r>
        <w:rPr>
          <w:rFonts w:ascii="Times New Roman" w:hAnsi="Times New Roman" w:eastAsia="仿宋_GB2312" w:cs="Times New Roman"/>
          <w:bCs/>
          <w:color w:val="000000"/>
          <w:sz w:val="32"/>
          <w:szCs w:val="32"/>
        </w:rPr>
        <w:t>%，社会保障和就业（类）支出13.59万元，占6.4%；</w:t>
      </w:r>
      <w:r>
        <w:rPr>
          <w:rFonts w:hint="eastAsia" w:ascii="Times New Roman" w:hAnsi="Times New Roman" w:eastAsia="仿宋_GB2312" w:cs="Times New Roman"/>
          <w:bCs/>
          <w:color w:val="000000"/>
          <w:sz w:val="32"/>
          <w:szCs w:val="32"/>
        </w:rPr>
        <w:t>卫生</w:t>
      </w:r>
      <w:r>
        <w:rPr>
          <w:rFonts w:ascii="Times New Roman" w:hAnsi="Times New Roman" w:eastAsia="仿宋_GB2312" w:cs="Times New Roman"/>
          <w:bCs/>
          <w:color w:val="000000"/>
          <w:sz w:val="32"/>
          <w:szCs w:val="32"/>
        </w:rPr>
        <w:t>健康支出</w:t>
      </w:r>
      <w:r>
        <w:rPr>
          <w:rFonts w:hint="eastAsia" w:ascii="Times New Roman" w:hAnsi="Times New Roman" w:eastAsia="仿宋_GB2312" w:cs="Times New Roman"/>
          <w:bCs/>
          <w:color w:val="000000"/>
          <w:sz w:val="32"/>
          <w:szCs w:val="32"/>
        </w:rPr>
        <w:t>5.38万元</w:t>
      </w:r>
      <w:r>
        <w:rPr>
          <w:rFonts w:ascii="Times New Roman" w:hAnsi="Times New Roman" w:eastAsia="仿宋_GB2312" w:cs="Times New Roman"/>
          <w:bCs/>
          <w:color w:val="000000"/>
          <w:sz w:val="32"/>
          <w:szCs w:val="32"/>
        </w:rPr>
        <w:t>，占</w:t>
      </w:r>
      <w:r>
        <w:rPr>
          <w:rFonts w:hint="eastAsia" w:ascii="Times New Roman" w:hAnsi="Times New Roman" w:eastAsia="仿宋_GB2312" w:cs="Times New Roman"/>
          <w:bCs/>
          <w:color w:val="000000"/>
          <w:sz w:val="32"/>
          <w:szCs w:val="32"/>
        </w:rPr>
        <w:t>2.5</w:t>
      </w:r>
      <w:r>
        <w:rPr>
          <w:rFonts w:ascii="Times New Roman" w:hAnsi="Times New Roman" w:eastAsia="仿宋_GB2312" w:cs="Times New Roman"/>
          <w:bCs/>
          <w:color w:val="000000"/>
          <w:sz w:val="32"/>
          <w:szCs w:val="32"/>
        </w:rPr>
        <w:t>%，城乡社区支出</w:t>
      </w:r>
      <w:r>
        <w:rPr>
          <w:rFonts w:hint="eastAsia" w:ascii="Times New Roman" w:hAnsi="Times New Roman" w:eastAsia="仿宋_GB2312" w:cs="Times New Roman"/>
          <w:bCs/>
          <w:color w:val="000000"/>
          <w:sz w:val="32"/>
          <w:szCs w:val="32"/>
        </w:rPr>
        <w:t>176.21万元</w:t>
      </w:r>
      <w:r>
        <w:rPr>
          <w:rFonts w:ascii="Times New Roman" w:hAnsi="Times New Roman" w:eastAsia="仿宋_GB2312" w:cs="Times New Roman"/>
          <w:bCs/>
          <w:color w:val="000000"/>
          <w:sz w:val="32"/>
          <w:szCs w:val="32"/>
        </w:rPr>
        <w:t>，占</w:t>
      </w:r>
      <w:r>
        <w:rPr>
          <w:rFonts w:hint="eastAsia" w:ascii="Times New Roman" w:hAnsi="Times New Roman" w:eastAsia="仿宋_GB2312" w:cs="Times New Roman"/>
          <w:bCs/>
          <w:color w:val="000000"/>
          <w:sz w:val="32"/>
          <w:szCs w:val="32"/>
        </w:rPr>
        <w:t>82.6</w:t>
      </w:r>
      <w:r>
        <w:rPr>
          <w:rFonts w:ascii="Times New Roman" w:hAnsi="Times New Roman" w:eastAsia="仿宋_GB2312" w:cs="Times New Roman"/>
          <w:bCs/>
          <w:color w:val="000000"/>
          <w:sz w:val="32"/>
          <w:szCs w:val="32"/>
        </w:rPr>
        <w:t>%，住房保障（类）支出16.38万元，占7.7%。</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3.一般公共预算当年拨款具体使用情况。</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（1）</w:t>
      </w:r>
      <w:r>
        <w:rPr>
          <w:rFonts w:hint="eastAsia" w:ascii="Times New Roman" w:hAnsi="Times New Roman" w:eastAsia="仿宋_GB2312" w:cs="Times New Roman"/>
          <w:bCs/>
          <w:color w:val="000000"/>
          <w:sz w:val="32"/>
          <w:szCs w:val="32"/>
          <w:lang w:val="en-US" w:eastAsia="zh-CN"/>
        </w:rPr>
        <w:t>教育支出（类）进修及培训（款）培训支出（项）</w:t>
      </w:r>
      <w:r>
        <w:rPr>
          <w:rFonts w:ascii="Times New Roman" w:hAnsi="Times New Roman" w:eastAsia="仿宋_GB2312" w:cs="Times New Roman"/>
          <w:bCs/>
          <w:color w:val="000000"/>
          <w:sz w:val="32"/>
          <w:szCs w:val="32"/>
        </w:rPr>
        <w:t>1.7</w:t>
      </w:r>
      <w:r>
        <w:rPr>
          <w:rFonts w:hint="eastAsia" w:ascii="Times New Roman" w:hAnsi="Times New Roman" w:eastAsia="仿宋_GB2312" w:cs="Times New Roman"/>
          <w:bCs/>
          <w:color w:val="000000"/>
          <w:sz w:val="32"/>
          <w:szCs w:val="32"/>
        </w:rPr>
        <w:t>万元</w:t>
      </w:r>
      <w:r>
        <w:rPr>
          <w:rFonts w:ascii="Times New Roman" w:hAnsi="Times New Roman" w:eastAsia="仿宋_GB2312" w:cs="Times New Roman"/>
          <w:bCs/>
          <w:color w:val="000000"/>
          <w:sz w:val="32"/>
          <w:szCs w:val="32"/>
        </w:rPr>
        <w:t>，主要用于</w:t>
      </w:r>
      <w:r>
        <w:rPr>
          <w:rFonts w:hint="eastAsia" w:ascii="Times New Roman" w:hAnsi="Times New Roman" w:eastAsia="仿宋_GB2312" w:cs="Times New Roman"/>
          <w:bCs/>
          <w:color w:val="000000"/>
          <w:sz w:val="32"/>
          <w:szCs w:val="32"/>
        </w:rPr>
        <w:t>进修</w:t>
      </w:r>
      <w:r>
        <w:rPr>
          <w:rFonts w:ascii="Times New Roman" w:hAnsi="Times New Roman" w:eastAsia="仿宋_GB2312" w:cs="Times New Roman"/>
          <w:bCs/>
          <w:color w:val="000000"/>
          <w:sz w:val="32"/>
          <w:szCs w:val="32"/>
        </w:rPr>
        <w:t>及培训。</w:t>
      </w:r>
    </w:p>
    <w:p>
      <w:pPr>
        <w:spacing w:line="560" w:lineRule="exact"/>
        <w:ind w:firstLine="640" w:firstLineChars="200"/>
        <w:rPr>
          <w:rFonts w:hint="eastAsia" w:ascii="Times New Roman" w:hAnsi="Times New Roman" w:eastAsia="仿宋_GB2312" w:cs="Times New Roman"/>
          <w:bCs/>
          <w:color w:val="000000"/>
          <w:sz w:val="32"/>
          <w:szCs w:val="32"/>
          <w:lang w:val="en-US" w:eastAsia="zh-CN"/>
        </w:rPr>
      </w:pPr>
      <w:r>
        <w:rPr>
          <w:rFonts w:ascii="Times New Roman" w:hAnsi="Times New Roman" w:eastAsia="仿宋_GB2312" w:cs="Times New Roman"/>
          <w:bCs/>
          <w:color w:val="000000"/>
          <w:sz w:val="32"/>
          <w:szCs w:val="32"/>
        </w:rPr>
        <w:t>（2）</w:t>
      </w:r>
      <w:r>
        <w:rPr>
          <w:rFonts w:hint="default" w:ascii="Times New Roman" w:hAnsi="Times New Roman" w:eastAsia="仿宋_GB2312" w:cs="Times New Roman"/>
          <w:bCs/>
          <w:color w:val="000000"/>
          <w:sz w:val="32"/>
          <w:szCs w:val="32"/>
        </w:rPr>
        <w:t>社会保障和就业支</w:t>
      </w:r>
      <w:r>
        <w:rPr>
          <w:rFonts w:hint="eastAsia" w:ascii="Times New Roman" w:hAnsi="Times New Roman" w:eastAsia="仿宋_GB2312" w:cs="Times New Roman"/>
          <w:bCs/>
          <w:color w:val="000000"/>
          <w:sz w:val="32"/>
          <w:szCs w:val="32"/>
          <w:lang w:eastAsia="zh-CN"/>
        </w:rPr>
        <w:t>出（类）行政事业单位养老支出（款）机关事业单位基本养老保险缴费支出（项）</w:t>
      </w:r>
      <w:r>
        <w:rPr>
          <w:rFonts w:hint="eastAsia" w:ascii="Times New Roman" w:hAnsi="Times New Roman" w:eastAsia="仿宋_GB2312" w:cs="Times New Roman"/>
          <w:bCs/>
          <w:color w:val="000000"/>
          <w:sz w:val="32"/>
          <w:szCs w:val="32"/>
          <w:lang w:val="en-US" w:eastAsia="zh-CN"/>
        </w:rPr>
        <w:t>9.06</w:t>
      </w:r>
      <w:r>
        <w:rPr>
          <w:rFonts w:ascii="Times New Roman" w:hAnsi="Times New Roman" w:eastAsia="仿宋_GB2312" w:cs="Times New Roman"/>
          <w:bCs/>
          <w:color w:val="000000"/>
          <w:sz w:val="32"/>
          <w:szCs w:val="32"/>
        </w:rPr>
        <w:t>万元，主要用于</w:t>
      </w:r>
      <w:r>
        <w:rPr>
          <w:rFonts w:hint="eastAsia" w:ascii="Times New Roman" w:hAnsi="Times New Roman" w:eastAsia="仿宋_GB2312" w:cs="Times New Roman"/>
          <w:bCs/>
          <w:color w:val="000000"/>
          <w:sz w:val="32"/>
          <w:szCs w:val="32"/>
        </w:rPr>
        <w:t>行政</w:t>
      </w:r>
      <w:r>
        <w:rPr>
          <w:rFonts w:ascii="Times New Roman" w:hAnsi="Times New Roman" w:eastAsia="仿宋_GB2312" w:cs="Times New Roman"/>
          <w:bCs/>
          <w:color w:val="000000"/>
          <w:sz w:val="32"/>
          <w:szCs w:val="32"/>
        </w:rPr>
        <w:t>事业单位养老支出</w:t>
      </w:r>
      <w:r>
        <w:rPr>
          <w:rFonts w:hint="eastAsia" w:ascii="Times New Roman" w:hAnsi="Times New Roman" w:eastAsia="仿宋_GB2312" w:cs="Times New Roman"/>
          <w:bCs/>
          <w:color w:val="000000"/>
          <w:sz w:val="32"/>
          <w:szCs w:val="32"/>
        </w:rPr>
        <w:t>、</w:t>
      </w:r>
      <w:r>
        <w:rPr>
          <w:rFonts w:ascii="Times New Roman" w:hAnsi="Times New Roman" w:eastAsia="仿宋_GB2312" w:cs="Times New Roman"/>
          <w:bCs/>
          <w:color w:val="000000"/>
          <w:sz w:val="32"/>
          <w:szCs w:val="32"/>
        </w:rPr>
        <w:t>机关事业单位基本养老保险缴费支出</w:t>
      </w:r>
      <w:r>
        <w:rPr>
          <w:rFonts w:hint="eastAsia" w:ascii="Times New Roman" w:hAnsi="Times New Roman" w:eastAsia="仿宋_GB2312" w:cs="Times New Roman"/>
          <w:bCs/>
          <w:color w:val="000000"/>
          <w:sz w:val="32"/>
          <w:szCs w:val="32"/>
          <w:lang w:eastAsia="zh-CN"/>
        </w:rPr>
        <w:t>。</w:t>
      </w:r>
    </w:p>
    <w:p>
      <w:pPr>
        <w:spacing w:line="560" w:lineRule="exact"/>
        <w:ind w:firstLine="640" w:firstLineChars="2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lang w:val="en-US" w:eastAsia="zh-CN"/>
        </w:rPr>
        <w:t>（3）</w:t>
      </w:r>
      <w:r>
        <w:rPr>
          <w:rFonts w:hint="default" w:ascii="Times New Roman" w:hAnsi="Times New Roman" w:eastAsia="仿宋_GB2312" w:cs="Times New Roman"/>
          <w:bCs/>
          <w:color w:val="000000"/>
          <w:sz w:val="32"/>
          <w:szCs w:val="32"/>
        </w:rPr>
        <w:t>社会保障和就业支</w:t>
      </w:r>
      <w:r>
        <w:rPr>
          <w:rFonts w:hint="eastAsia" w:ascii="Times New Roman" w:hAnsi="Times New Roman" w:eastAsia="仿宋_GB2312" w:cs="Times New Roman"/>
          <w:bCs/>
          <w:color w:val="000000"/>
          <w:sz w:val="32"/>
          <w:szCs w:val="32"/>
          <w:lang w:eastAsia="zh-CN"/>
        </w:rPr>
        <w:t>出（类）行政事业单位养老支出（款）机关事业单位</w:t>
      </w:r>
      <w:r>
        <w:rPr>
          <w:rFonts w:hint="eastAsia" w:ascii="Times New Roman" w:hAnsi="Times New Roman" w:eastAsia="仿宋_GB2312" w:cs="Times New Roman"/>
          <w:bCs/>
          <w:color w:val="FF0000"/>
          <w:sz w:val="32"/>
          <w:szCs w:val="32"/>
          <w:lang w:eastAsia="zh-CN"/>
        </w:rPr>
        <w:t>职业年金</w:t>
      </w:r>
      <w:r>
        <w:rPr>
          <w:rFonts w:hint="eastAsia" w:ascii="Times New Roman" w:hAnsi="Times New Roman" w:eastAsia="仿宋_GB2312" w:cs="Times New Roman"/>
          <w:bCs/>
          <w:color w:val="000000"/>
          <w:sz w:val="32"/>
          <w:szCs w:val="32"/>
          <w:lang w:eastAsia="zh-CN"/>
        </w:rPr>
        <w:t>缴费支出（项）</w:t>
      </w:r>
      <w:r>
        <w:rPr>
          <w:rFonts w:hint="eastAsia" w:ascii="Times New Roman" w:hAnsi="Times New Roman" w:eastAsia="仿宋_GB2312" w:cs="Times New Roman"/>
          <w:bCs/>
          <w:color w:val="000000"/>
          <w:sz w:val="32"/>
          <w:szCs w:val="32"/>
          <w:lang w:val="en-US" w:eastAsia="zh-CN"/>
        </w:rPr>
        <w:t>4.53万元，主要用于</w:t>
      </w:r>
      <w:r>
        <w:rPr>
          <w:rFonts w:hint="eastAsia" w:ascii="Times New Roman" w:hAnsi="Times New Roman" w:eastAsia="仿宋_GB2312" w:cs="Times New Roman"/>
          <w:bCs/>
          <w:color w:val="000000"/>
          <w:sz w:val="32"/>
          <w:szCs w:val="32"/>
        </w:rPr>
        <w:t>机关</w:t>
      </w:r>
      <w:r>
        <w:rPr>
          <w:rFonts w:ascii="Times New Roman" w:hAnsi="Times New Roman" w:eastAsia="仿宋_GB2312" w:cs="Times New Roman"/>
          <w:bCs/>
          <w:color w:val="000000"/>
          <w:sz w:val="32"/>
          <w:szCs w:val="32"/>
        </w:rPr>
        <w:t>事业单位职业年金缴费支出。</w:t>
      </w:r>
    </w:p>
    <w:p>
      <w:pPr>
        <w:spacing w:line="560" w:lineRule="exact"/>
        <w:ind w:firstLine="640" w:firstLineChars="2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lang w:val="en-US" w:eastAsia="zh-CN"/>
        </w:rPr>
        <w:t>4</w:t>
      </w:r>
      <w:r>
        <w:rPr>
          <w:rFonts w:hint="eastAsia"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lang w:val="en-US" w:eastAsia="zh-CN"/>
        </w:rPr>
        <w:t>卫生健康支出（类）行政事业单位医疗（款）事业单位医疗（项）</w:t>
      </w:r>
      <w:r>
        <w:rPr>
          <w:rFonts w:hint="eastAsia" w:ascii="Times New Roman" w:hAnsi="Times New Roman" w:eastAsia="仿宋_GB2312" w:cs="Times New Roman"/>
          <w:bCs/>
          <w:color w:val="000000"/>
          <w:sz w:val="32"/>
          <w:szCs w:val="32"/>
        </w:rPr>
        <w:t>5.38万元</w:t>
      </w:r>
      <w:r>
        <w:rPr>
          <w:rFonts w:ascii="Times New Roman" w:hAnsi="Times New Roman" w:eastAsia="仿宋_GB2312" w:cs="Times New Roman"/>
          <w:bCs/>
          <w:color w:val="000000"/>
          <w:sz w:val="32"/>
          <w:szCs w:val="32"/>
        </w:rPr>
        <w:t>，主要用于行政事业单位医疗和事业单位医疗。</w:t>
      </w:r>
    </w:p>
    <w:p>
      <w:pPr>
        <w:spacing w:line="560" w:lineRule="exact"/>
        <w:ind w:firstLine="640" w:firstLineChars="2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lang w:val="en-US" w:eastAsia="zh-CN"/>
        </w:rPr>
        <w:t>5</w:t>
      </w:r>
      <w:r>
        <w:rPr>
          <w:rFonts w:hint="eastAsia" w:ascii="Times New Roman" w:hAnsi="Times New Roman" w:eastAsia="仿宋_GB2312" w:cs="Times New Roman"/>
          <w:bCs/>
          <w:color w:val="000000"/>
          <w:sz w:val="32"/>
          <w:szCs w:val="32"/>
        </w:rPr>
        <w:t>）城乡</w:t>
      </w:r>
      <w:r>
        <w:rPr>
          <w:rFonts w:ascii="Times New Roman" w:hAnsi="Times New Roman" w:eastAsia="仿宋_GB2312" w:cs="Times New Roman"/>
          <w:bCs/>
          <w:color w:val="000000"/>
          <w:sz w:val="32"/>
          <w:szCs w:val="32"/>
        </w:rPr>
        <w:t>社区支出</w:t>
      </w:r>
      <w:r>
        <w:rPr>
          <w:rFonts w:hint="eastAsia" w:ascii="Times New Roman" w:hAnsi="Times New Roman" w:eastAsia="仿宋_GB2312" w:cs="Times New Roman"/>
          <w:bCs/>
          <w:color w:val="000000"/>
          <w:sz w:val="32"/>
          <w:szCs w:val="32"/>
          <w:lang w:val="en-US" w:eastAsia="zh-CN"/>
        </w:rPr>
        <w:t>（类）城乡社区规划与管理（款）城乡社区规划与管理（项）</w:t>
      </w:r>
      <w:r>
        <w:rPr>
          <w:rFonts w:hint="eastAsia" w:ascii="Times New Roman" w:hAnsi="Times New Roman" w:eastAsia="仿宋_GB2312" w:cs="Times New Roman"/>
          <w:bCs/>
          <w:color w:val="000000"/>
          <w:sz w:val="32"/>
          <w:szCs w:val="32"/>
        </w:rPr>
        <w:t>176.21万元</w:t>
      </w:r>
      <w:r>
        <w:rPr>
          <w:rFonts w:ascii="Times New Roman" w:hAnsi="Times New Roman" w:eastAsia="仿宋_GB2312" w:cs="Times New Roman"/>
          <w:bCs/>
          <w:color w:val="000000"/>
          <w:sz w:val="32"/>
          <w:szCs w:val="32"/>
        </w:rPr>
        <w:t>，主要用于城乡社区规划与管理。</w:t>
      </w:r>
    </w:p>
    <w:p>
      <w:pPr>
        <w:spacing w:line="560" w:lineRule="exact"/>
        <w:ind w:firstLine="640" w:firstLineChars="2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lang w:val="en-US" w:eastAsia="zh-CN"/>
        </w:rPr>
        <w:t>6</w:t>
      </w:r>
      <w:r>
        <w:rPr>
          <w:rFonts w:hint="eastAsia"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lang w:val="en-US" w:eastAsia="zh-CN"/>
        </w:rPr>
        <w:t>住房保障支出（类）住房改革支出（款）住房公积金（项）</w:t>
      </w:r>
      <w:r>
        <w:rPr>
          <w:rFonts w:hint="eastAsia" w:ascii="Times New Roman" w:hAnsi="Times New Roman" w:eastAsia="仿宋_GB2312" w:cs="Times New Roman"/>
          <w:bCs/>
          <w:color w:val="000000"/>
          <w:sz w:val="32"/>
          <w:szCs w:val="32"/>
        </w:rPr>
        <w:t>16.38万元</w:t>
      </w:r>
      <w:r>
        <w:rPr>
          <w:rFonts w:ascii="Times New Roman" w:hAnsi="Times New Roman" w:eastAsia="仿宋_GB2312" w:cs="Times New Roman"/>
          <w:bCs/>
          <w:color w:val="000000"/>
          <w:sz w:val="32"/>
          <w:szCs w:val="32"/>
        </w:rPr>
        <w:t>，主要用于住房改革支出、住房公积金。</w:t>
      </w:r>
    </w:p>
    <w:p>
      <w:pPr>
        <w:spacing w:line="530" w:lineRule="exact"/>
        <w:ind w:firstLine="640" w:firstLineChars="200"/>
        <w:rPr>
          <w:rFonts w:ascii="Times New Roman" w:hAnsi="Times New Roman" w:eastAsia="楷体_GB2312" w:cs="Times New Roman"/>
          <w:b/>
          <w:color w:val="000000"/>
          <w:sz w:val="32"/>
          <w:szCs w:val="32"/>
        </w:rPr>
      </w:pPr>
      <w:r>
        <w:rPr>
          <w:rFonts w:ascii="Times New Roman" w:hAnsi="Times New Roman" w:eastAsia="楷体" w:cs="Times New Roman"/>
          <w:color w:val="000000"/>
          <w:sz w:val="32"/>
          <w:szCs w:val="32"/>
        </w:rPr>
        <w:t>（六）关</w:t>
      </w:r>
      <w:r>
        <w:rPr>
          <w:rFonts w:ascii="Times New Roman" w:hAnsi="Times New Roman" w:eastAsia="仿宋_GB2312" w:cs="Times New Roman"/>
          <w:bCs/>
          <w:color w:val="000000"/>
          <w:sz w:val="32"/>
          <w:szCs w:val="32"/>
        </w:rPr>
        <w:t>金华市</w:t>
      </w:r>
      <w:r>
        <w:rPr>
          <w:rFonts w:ascii="Times New Roman" w:hAnsi="Times New Roman" w:eastAsia="楷体" w:cs="Times New Roman"/>
          <w:bCs/>
          <w:color w:val="000000"/>
          <w:sz w:val="32"/>
          <w:szCs w:val="32"/>
        </w:rPr>
        <w:t>自然资源和规划技术中心2021年</w:t>
      </w:r>
      <w:r>
        <w:rPr>
          <w:rFonts w:ascii="Times New Roman" w:hAnsi="Times New Roman" w:eastAsia="楷体" w:cs="Times New Roman"/>
          <w:color w:val="000000"/>
          <w:sz w:val="32"/>
          <w:szCs w:val="32"/>
        </w:rPr>
        <w:t>一般公共预算基本支出情况说明</w:t>
      </w:r>
    </w:p>
    <w:p>
      <w:pPr>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bCs/>
          <w:color w:val="000000"/>
          <w:sz w:val="32"/>
          <w:szCs w:val="32"/>
        </w:rPr>
        <w:t>金华市</w:t>
      </w:r>
      <w:r>
        <w:rPr>
          <w:rFonts w:ascii="Times New Roman" w:hAnsi="Times New Roman" w:eastAsia="楷体" w:cs="Times New Roman"/>
          <w:bCs/>
          <w:color w:val="000000"/>
          <w:sz w:val="32"/>
          <w:szCs w:val="32"/>
        </w:rPr>
        <w:t>自然资源和规划技术中心</w:t>
      </w:r>
      <w:r>
        <w:rPr>
          <w:rFonts w:ascii="Times New Roman" w:hAnsi="Times New Roman" w:eastAsia="仿宋_GB2312" w:cs="Times New Roman"/>
          <w:color w:val="000000"/>
          <w:sz w:val="32"/>
          <w:szCs w:val="32"/>
        </w:rPr>
        <w:t>2021年一般公共预算基本支出191.26万元，其中：</w:t>
      </w:r>
    </w:p>
    <w:p>
      <w:pPr>
        <w:spacing w:line="560" w:lineRule="exact"/>
        <w:ind w:firstLine="640" w:firstLineChars="200"/>
        <w:rPr>
          <w:rFonts w:ascii="Times New Roman" w:hAnsi="Times New Roman" w:eastAsia="仿宋_GB2312" w:cs="Times New Roman"/>
          <w:color w:val="000000"/>
          <w:sz w:val="32"/>
          <w:szCs w:val="32"/>
          <w:shd w:val="pct10" w:color="auto" w:fill="FFFFFF"/>
        </w:rPr>
      </w:pPr>
      <w:r>
        <w:rPr>
          <w:rFonts w:ascii="Times New Roman" w:hAnsi="Times New Roman" w:eastAsia="仿宋_GB2312" w:cs="Times New Roman"/>
          <w:color w:val="000000"/>
          <w:sz w:val="32"/>
          <w:szCs w:val="32"/>
        </w:rPr>
        <w:t>人员经费173.85万元，主要包括：基本工资、津贴补贴、奖金、绩效工资、机关事业单位基本养老保险缴费、职业年金缴费、职工基本医疗保险缴费、公务员医疗补助缴费、其他社会保障缴费、住房公积金、医疗费、其他工资福利支出、生活补助、医疗费补助、奖励金、其他对个人和家庭的补助</w:t>
      </w:r>
      <w:r>
        <w:rPr>
          <w:rFonts w:ascii="Times New Roman" w:hAnsi="Times New Roman" w:eastAsia="仿宋_GB2312" w:cs="Times New Roman"/>
          <w:color w:val="000000"/>
          <w:sz w:val="32"/>
          <w:szCs w:val="32"/>
          <w:shd w:val="pct10" w:color="auto" w:fill="FFFFFF"/>
        </w:rPr>
        <w:t>；</w:t>
      </w:r>
    </w:p>
    <w:p>
      <w:pPr>
        <w:spacing w:line="560" w:lineRule="exact"/>
        <w:ind w:firstLine="640" w:firstLineChars="200"/>
        <w:rPr>
          <w:rFonts w:ascii="Times New Roman" w:hAnsi="Times New Roman" w:eastAsia="仿宋_GB2312" w:cs="Times New Roman"/>
          <w:color w:val="000000"/>
          <w:sz w:val="32"/>
          <w:szCs w:val="32"/>
          <w:shd w:val="pct10" w:color="auto" w:fill="FFFFFF"/>
        </w:rPr>
      </w:pPr>
      <w:r>
        <w:rPr>
          <w:rFonts w:ascii="Times New Roman" w:hAnsi="Times New Roman" w:eastAsia="仿宋_GB2312" w:cs="Times New Roman"/>
          <w:color w:val="000000"/>
          <w:sz w:val="32"/>
          <w:szCs w:val="32"/>
        </w:rPr>
        <w:t>公用经费17.41万元，主要包括：办公费、印刷费、水费、差旅费、培训费、公务接待费、劳务费、工会经费、福利费、其他商品和服务支出</w:t>
      </w:r>
      <w:r>
        <w:rPr>
          <w:rFonts w:ascii="Times New Roman" w:hAnsi="Times New Roman" w:eastAsia="仿宋_GB2312" w:cs="Times New Roman"/>
          <w:color w:val="000000"/>
          <w:sz w:val="32"/>
          <w:szCs w:val="32"/>
          <w:shd w:val="pct10" w:color="auto" w:fill="FFFFFF"/>
        </w:rPr>
        <w:t>。</w:t>
      </w:r>
    </w:p>
    <w:p>
      <w:pPr>
        <w:spacing w:line="530" w:lineRule="exact"/>
        <w:ind w:firstLine="640" w:firstLineChars="200"/>
        <w:rPr>
          <w:rFonts w:ascii="Times New Roman" w:hAnsi="Times New Roman" w:eastAsia="楷体" w:cs="Times New Roman"/>
          <w:color w:val="000000"/>
          <w:sz w:val="32"/>
          <w:szCs w:val="32"/>
        </w:rPr>
      </w:pPr>
      <w:r>
        <w:rPr>
          <w:rFonts w:ascii="Times New Roman" w:hAnsi="Times New Roman" w:eastAsia="楷体" w:cs="Times New Roman"/>
          <w:color w:val="000000"/>
          <w:sz w:val="32"/>
          <w:szCs w:val="32"/>
        </w:rPr>
        <w:t>（七）关于</w:t>
      </w:r>
      <w:r>
        <w:rPr>
          <w:rFonts w:ascii="Times New Roman" w:hAnsi="Times New Roman" w:eastAsia="仿宋_GB2312" w:cs="Times New Roman"/>
          <w:bCs/>
          <w:color w:val="000000"/>
          <w:sz w:val="32"/>
          <w:szCs w:val="32"/>
        </w:rPr>
        <w:t>金华市</w:t>
      </w:r>
      <w:r>
        <w:rPr>
          <w:rFonts w:ascii="Times New Roman" w:hAnsi="Times New Roman" w:eastAsia="楷体" w:cs="Times New Roman"/>
          <w:bCs/>
          <w:color w:val="000000"/>
          <w:sz w:val="32"/>
          <w:szCs w:val="32"/>
        </w:rPr>
        <w:t>自然资源和规划技术中心2021年</w:t>
      </w:r>
      <w:r>
        <w:rPr>
          <w:rFonts w:ascii="Times New Roman" w:hAnsi="Times New Roman" w:eastAsia="楷体" w:cs="Times New Roman"/>
          <w:color w:val="000000"/>
          <w:sz w:val="32"/>
          <w:szCs w:val="32"/>
        </w:rPr>
        <w:t>政府性基金预算支出情况说明</w:t>
      </w:r>
    </w:p>
    <w:p>
      <w:pPr>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金华市</w:t>
      </w:r>
      <w:r>
        <w:rPr>
          <w:rFonts w:ascii="Times New Roman" w:hAnsi="Times New Roman" w:eastAsia="仿宋_GB2312" w:cs="Times New Roman"/>
          <w:bCs/>
          <w:color w:val="000000"/>
          <w:sz w:val="32"/>
          <w:szCs w:val="32"/>
        </w:rPr>
        <w:t>金华市</w:t>
      </w:r>
      <w:r>
        <w:rPr>
          <w:rFonts w:ascii="Times New Roman" w:hAnsi="Times New Roman" w:eastAsia="楷体" w:cs="Times New Roman"/>
          <w:bCs/>
          <w:color w:val="000000"/>
          <w:sz w:val="32"/>
          <w:szCs w:val="32"/>
        </w:rPr>
        <w:t>自然资源和规划技术中心</w:t>
      </w:r>
      <w:r>
        <w:rPr>
          <w:rFonts w:ascii="Times New Roman" w:hAnsi="Times New Roman" w:eastAsia="仿宋_GB2312" w:cs="Times New Roman"/>
          <w:color w:val="000000"/>
          <w:sz w:val="32"/>
          <w:szCs w:val="32"/>
        </w:rPr>
        <w:t>2021年没有使用政府性基金预算拨款安排的支出。</w:t>
      </w:r>
    </w:p>
    <w:p>
      <w:pPr>
        <w:spacing w:line="560" w:lineRule="exact"/>
        <w:ind w:firstLine="640" w:firstLineChars="200"/>
        <w:rPr>
          <w:rFonts w:ascii="Times New Roman" w:hAnsi="Times New Roman" w:eastAsia="仿宋_GB2312" w:cs="Times New Roman"/>
          <w:sz w:val="32"/>
          <w:szCs w:val="20"/>
        </w:rPr>
      </w:pPr>
      <w:r>
        <w:rPr>
          <w:rFonts w:ascii="Times New Roman" w:hAnsi="Times New Roman" w:eastAsia="仿宋_GB2312" w:cs="Times New Roman"/>
          <w:bCs/>
          <w:color w:val="000000"/>
          <w:sz w:val="32"/>
          <w:szCs w:val="32"/>
        </w:rPr>
        <w:t>金华市</w:t>
      </w:r>
      <w:r>
        <w:rPr>
          <w:rFonts w:ascii="Times New Roman" w:hAnsi="Times New Roman" w:eastAsia="楷体" w:cs="Times New Roman"/>
          <w:bCs/>
          <w:color w:val="000000"/>
          <w:sz w:val="32"/>
          <w:szCs w:val="32"/>
        </w:rPr>
        <w:t>自然资源和规划技术中心</w:t>
      </w:r>
      <w:r>
        <w:rPr>
          <w:rFonts w:ascii="Times New Roman" w:hAnsi="Times New Roman" w:eastAsia="仿宋_GB2312" w:cs="Times New Roman"/>
          <w:sz w:val="32"/>
        </w:rPr>
        <w:t>2021年“三公”经费预算数为</w:t>
      </w:r>
      <w:r>
        <w:rPr>
          <w:rFonts w:ascii="Times New Roman" w:hAnsi="Times New Roman" w:eastAsia="仿宋_GB2312" w:cs="Times New Roman"/>
          <w:color w:val="000000"/>
          <w:sz w:val="32"/>
          <w:szCs w:val="32"/>
        </w:rPr>
        <w:t>0.1</w:t>
      </w:r>
      <w:r>
        <w:rPr>
          <w:rFonts w:ascii="Times New Roman" w:hAnsi="Times New Roman" w:eastAsia="仿宋_GB2312" w:cs="Times New Roman"/>
          <w:sz w:val="32"/>
        </w:rPr>
        <w:t>万元，</w:t>
      </w:r>
      <w:r>
        <w:rPr>
          <w:rFonts w:hint="eastAsia" w:ascii="Times New Roman" w:hAnsi="Times New Roman" w:eastAsia="仿宋_GB2312" w:cs="Times New Roman"/>
          <w:sz w:val="32"/>
          <w:szCs w:val="20"/>
          <w:shd w:val="clear" w:color="auto" w:fill="FFFFFF"/>
        </w:rPr>
        <w:t>与</w:t>
      </w:r>
      <w:r>
        <w:rPr>
          <w:rFonts w:ascii="Times New Roman" w:hAnsi="Times New Roman" w:eastAsia="仿宋_GB2312" w:cs="Times New Roman"/>
          <w:sz w:val="32"/>
          <w:szCs w:val="20"/>
          <w:shd w:val="clear" w:color="auto" w:fill="FFFFFF"/>
        </w:rPr>
        <w:t>2020年执行数</w:t>
      </w:r>
      <w:r>
        <w:rPr>
          <w:rFonts w:hint="eastAsia" w:ascii="Times New Roman" w:hAnsi="Times New Roman" w:eastAsia="仿宋_GB2312" w:cs="Times New Roman"/>
          <w:sz w:val="32"/>
          <w:szCs w:val="20"/>
          <w:shd w:val="clear" w:color="auto" w:fill="FFFFFF"/>
        </w:rPr>
        <w:t>同等，</w:t>
      </w:r>
      <w:r>
        <w:rPr>
          <w:rFonts w:ascii="Times New Roman" w:hAnsi="Times New Roman" w:eastAsia="仿宋_GB2312" w:cs="Times New Roman"/>
          <w:sz w:val="32"/>
        </w:rPr>
        <w:t>具体如下：</w:t>
      </w:r>
    </w:p>
    <w:p>
      <w:pPr>
        <w:spacing w:line="530" w:lineRule="exact"/>
        <w:ind w:firstLine="642" w:firstLineChars="200"/>
        <w:rPr>
          <w:rFonts w:ascii="Times New Roman" w:hAnsi="Times New Roman" w:eastAsia="楷体" w:cs="Times New Roman"/>
          <w:b/>
          <w:bCs/>
          <w:color w:val="000000"/>
          <w:sz w:val="32"/>
          <w:szCs w:val="32"/>
        </w:rPr>
      </w:pPr>
      <w:r>
        <w:rPr>
          <w:rFonts w:hint="default" w:ascii="Times New Roman" w:hAnsi="Times New Roman" w:eastAsia="楷体" w:cs="Times New Roman"/>
          <w:b/>
          <w:bCs/>
          <w:color w:val="000000"/>
          <w:sz w:val="32"/>
          <w:szCs w:val="32"/>
        </w:rPr>
        <w:t>（</w:t>
      </w:r>
      <w:r>
        <w:rPr>
          <w:rFonts w:hint="eastAsia" w:ascii="Times New Roman" w:hAnsi="Times New Roman" w:eastAsia="楷体" w:cs="Times New Roman"/>
          <w:b/>
          <w:bCs/>
          <w:color w:val="000000"/>
          <w:sz w:val="32"/>
          <w:szCs w:val="32"/>
          <w:lang w:eastAsia="zh-CN"/>
        </w:rPr>
        <w:t>八</w:t>
      </w:r>
      <w:r>
        <w:rPr>
          <w:rFonts w:hint="default" w:ascii="Times New Roman" w:hAnsi="Times New Roman" w:eastAsia="楷体" w:cs="Times New Roman"/>
          <w:b/>
          <w:bCs/>
          <w:color w:val="000000"/>
          <w:sz w:val="32"/>
          <w:szCs w:val="32"/>
        </w:rPr>
        <w:t>）关于</w:t>
      </w:r>
      <w:r>
        <w:rPr>
          <w:rFonts w:hint="eastAsia" w:ascii="Times New Roman" w:hAnsi="Times New Roman" w:eastAsia="楷体" w:cs="Times New Roman"/>
          <w:b/>
          <w:bCs/>
          <w:color w:val="000000"/>
          <w:sz w:val="32"/>
          <w:szCs w:val="32"/>
          <w:lang w:eastAsia="zh-CN"/>
        </w:rPr>
        <w:t>金华市自然资源和规划技术中心</w:t>
      </w:r>
      <w:r>
        <w:rPr>
          <w:rFonts w:hint="default" w:ascii="Times New Roman" w:hAnsi="Times New Roman" w:eastAsia="楷体" w:cs="Times New Roman"/>
          <w:b/>
          <w:bCs/>
          <w:color w:val="000000"/>
          <w:sz w:val="32"/>
          <w:szCs w:val="32"/>
          <w:lang w:eastAsia="zh-CN"/>
        </w:rPr>
        <w:t>2021</w:t>
      </w:r>
      <w:r>
        <w:rPr>
          <w:rFonts w:hint="default" w:ascii="Times New Roman" w:hAnsi="Times New Roman" w:eastAsia="楷体" w:cs="Times New Roman"/>
          <w:b/>
          <w:bCs/>
          <w:color w:val="000000"/>
          <w:sz w:val="32"/>
          <w:szCs w:val="32"/>
        </w:rPr>
        <w:t>年一般公共预算“三公”经费预算情况说明</w:t>
      </w:r>
    </w:p>
    <w:p>
      <w:pPr>
        <w:spacing w:beforeLines="0" w:afterLines="0" w:line="560" w:lineRule="exact"/>
        <w:ind w:firstLine="640" w:firstLineChars="200"/>
        <w:rPr>
          <w:rFonts w:ascii="Times New Roman" w:hAnsi="Times New Roman" w:eastAsia="仿宋_GB2312" w:cs="Times New Roman"/>
          <w:color w:val="000000" w:themeColor="text1"/>
          <w:sz w:val="32"/>
          <w:szCs w:val="20"/>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金华市</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自然资源和规划信息中心</w:t>
      </w:r>
      <w:r>
        <w:rPr>
          <w:rFonts w:hint="default" w:ascii="Times New Roman" w:hAnsi="Times New Roman" w:eastAsia="仿宋_GB2312" w:cs="Times New Roman"/>
          <w:color w:val="000000" w:themeColor="text1"/>
          <w:sz w:val="32"/>
          <w:lang w:eastAsia="zh-CN"/>
          <w14:textFill>
            <w14:solidFill>
              <w14:schemeClr w14:val="tx1"/>
            </w14:solidFill>
          </w14:textFill>
        </w:rPr>
        <w:t>2021</w:t>
      </w:r>
      <w:r>
        <w:rPr>
          <w:rFonts w:hint="default" w:ascii="Times New Roman" w:hAnsi="Times New Roman" w:eastAsia="仿宋_GB2312" w:cs="Times New Roman"/>
          <w:color w:val="000000" w:themeColor="text1"/>
          <w:sz w:val="32"/>
          <w14:textFill>
            <w14:solidFill>
              <w14:schemeClr w14:val="tx1"/>
            </w14:solidFill>
          </w14:textFill>
        </w:rPr>
        <w:t>年“三公”经费预算数为</w:t>
      </w:r>
      <w:r>
        <w:rPr>
          <w:rFonts w:hint="eastAsia" w:ascii="Times New Roman" w:hAnsi="Times New Roman" w:eastAsia="仿宋_GB2312" w:cs="Times New Roman"/>
          <w:color w:val="000000" w:themeColor="text1"/>
          <w:sz w:val="32"/>
          <w:lang w:val="en-US" w:eastAsia="zh-CN"/>
          <w14:textFill>
            <w14:solidFill>
              <w14:schemeClr w14:val="tx1"/>
            </w14:solidFill>
          </w14:textFill>
        </w:rPr>
        <w:t>0.1</w:t>
      </w:r>
      <w:r>
        <w:rPr>
          <w:rFonts w:hint="default" w:ascii="Times New Roman" w:hAnsi="Times New Roman" w:eastAsia="仿宋_GB2312" w:cs="Times New Roman"/>
          <w:color w:val="000000" w:themeColor="text1"/>
          <w:sz w:val="32"/>
          <w14:textFill>
            <w14:solidFill>
              <w14:schemeClr w14:val="tx1"/>
            </w14:solidFill>
          </w14:textFill>
        </w:rPr>
        <w:t>万元，</w:t>
      </w:r>
      <w:r>
        <w:rPr>
          <w:rFonts w:hint="eastAsia" w:ascii="Times New Roman" w:hAnsi="Times New Roman" w:eastAsia="仿宋_GB2312" w:cs="Times New Roman"/>
          <w:color w:val="000000" w:themeColor="text1"/>
          <w:sz w:val="32"/>
          <w:szCs w:val="20"/>
          <w:shd w:val="clear" w:color="auto" w:fill="FFFFFF"/>
          <w:lang w:eastAsia="zh-CN"/>
          <w14:textFill>
            <w14:solidFill>
              <w14:schemeClr w14:val="tx1"/>
            </w14:solidFill>
          </w14:textFill>
        </w:rPr>
        <w:t>与</w:t>
      </w:r>
      <w:r>
        <w:rPr>
          <w:rFonts w:hint="default" w:ascii="Times New Roman" w:hAnsi="Times New Roman" w:eastAsia="仿宋_GB2312" w:cs="Times New Roman"/>
          <w:color w:val="000000" w:themeColor="text1"/>
          <w:sz w:val="32"/>
          <w:szCs w:val="20"/>
          <w:shd w:val="clear" w:color="auto" w:fill="FFFFFF"/>
          <w:lang w:eastAsia="zh-CN"/>
          <w14:textFill>
            <w14:solidFill>
              <w14:schemeClr w14:val="tx1"/>
            </w14:solidFill>
          </w14:textFill>
        </w:rPr>
        <w:t>2020</w:t>
      </w:r>
      <w:r>
        <w:rPr>
          <w:rFonts w:hint="default" w:ascii="Times New Roman" w:hAnsi="Times New Roman" w:eastAsia="仿宋_GB2312" w:cs="Times New Roman"/>
          <w:color w:val="000000" w:themeColor="text1"/>
          <w:sz w:val="32"/>
          <w:szCs w:val="20"/>
          <w:shd w:val="clear" w:color="auto" w:fill="FFFFFF"/>
          <w14:textFill>
            <w14:solidFill>
              <w14:schemeClr w14:val="tx1"/>
            </w14:solidFill>
          </w14:textFill>
        </w:rPr>
        <w:t>年执行数</w:t>
      </w:r>
      <w:r>
        <w:rPr>
          <w:rFonts w:hint="eastAsia" w:ascii="Times New Roman" w:hAnsi="Times New Roman" w:eastAsia="仿宋_GB2312" w:cs="Times New Roman"/>
          <w:color w:val="000000" w:themeColor="text1"/>
          <w:sz w:val="32"/>
          <w:szCs w:val="20"/>
          <w:shd w:val="clear" w:color="auto" w:fill="FFFFFF"/>
          <w:lang w:eastAsia="zh-CN"/>
          <w14:textFill>
            <w14:solidFill>
              <w14:schemeClr w14:val="tx1"/>
            </w14:solidFill>
          </w14:textFill>
        </w:rPr>
        <w:t>相等，</w:t>
      </w:r>
      <w:r>
        <w:rPr>
          <w:rFonts w:hint="default" w:ascii="Times New Roman" w:hAnsi="Times New Roman" w:eastAsia="仿宋_GB2312" w:cs="Times New Roman"/>
          <w:color w:val="000000" w:themeColor="text1"/>
          <w:sz w:val="32"/>
          <w14:textFill>
            <w14:solidFill>
              <w14:schemeClr w14:val="tx1"/>
            </w14:solidFill>
          </w14:textFill>
        </w:rPr>
        <w:t>具体如下：</w:t>
      </w:r>
    </w:p>
    <w:p>
      <w:pPr>
        <w:numPr>
          <w:ilvl w:val="0"/>
          <w:numId w:val="2"/>
        </w:numPr>
        <w:spacing w:beforeLines="0" w:afterLines="0" w:line="560" w:lineRule="exact"/>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kern w:val="0"/>
          <w:sz w:val="32"/>
          <w:szCs w:val="32"/>
        </w:rPr>
        <w:t>因公出国（境）费用：</w:t>
      </w:r>
      <w:r>
        <w:rPr>
          <w:rFonts w:hint="eastAsia" w:ascii="Times New Roman" w:hAnsi="Times New Roman" w:eastAsia="仿宋_GB2312" w:cs="Times New Roman"/>
          <w:b w:val="0"/>
          <w:bCs/>
          <w:kern w:val="0"/>
          <w:sz w:val="32"/>
          <w:szCs w:val="32"/>
          <w:lang w:val="en-US" w:eastAsia="zh-CN"/>
        </w:rPr>
        <w:t>2021年单位预算未安排</w:t>
      </w:r>
      <w:r>
        <w:rPr>
          <w:rFonts w:hint="default" w:ascii="Times New Roman" w:hAnsi="Times New Roman" w:eastAsia="仿宋_GB2312" w:cs="Times New Roman"/>
          <w:sz w:val="32"/>
          <w:szCs w:val="32"/>
        </w:rPr>
        <w:t>因公出国（境）费用，</w:t>
      </w:r>
      <w:r>
        <w:rPr>
          <w:rFonts w:hint="eastAsia" w:ascii="Times New Roman" w:hAnsi="Times New Roman" w:eastAsia="仿宋_GB2312" w:cs="Times New Roman"/>
          <w:sz w:val="32"/>
          <w:szCs w:val="32"/>
          <w:lang w:eastAsia="zh-CN"/>
        </w:rPr>
        <w:t>与上年执行相同</w:t>
      </w:r>
      <w:r>
        <w:rPr>
          <w:rFonts w:hint="eastAsia" w:ascii="Times New Roman" w:hAnsi="Times New Roman" w:eastAsia="仿宋_GB2312" w:cs="Times New Roman"/>
          <w:sz w:val="32"/>
          <w:szCs w:val="32"/>
          <w:lang w:val="en-US" w:eastAsia="zh-CN"/>
        </w:rPr>
        <w:t>。</w:t>
      </w:r>
    </w:p>
    <w:p>
      <w:pPr>
        <w:spacing w:beforeLines="0" w:afterLines="0" w:line="560" w:lineRule="exact"/>
        <w:ind w:firstLine="642"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2.公务接待费</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2021</w:t>
      </w:r>
      <w:r>
        <w:rPr>
          <w:rFonts w:hint="default" w:ascii="Times New Roman" w:hAnsi="Times New Roman" w:eastAsia="仿宋_GB2312" w:cs="Times New Roman"/>
          <w:color w:val="000000" w:themeColor="text1"/>
          <w:sz w:val="32"/>
          <w:szCs w:val="32"/>
          <w14:textFill>
            <w14:solidFill>
              <w14:schemeClr w14:val="tx1"/>
            </w14:solidFill>
          </w14:textFill>
        </w:rPr>
        <w:t>年安排公务接待费预算</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0.1</w:t>
      </w:r>
      <w:r>
        <w:rPr>
          <w:rFonts w:hint="default" w:ascii="Times New Roman" w:hAnsi="Times New Roman" w:eastAsia="仿宋_GB2312" w:cs="Times New Roman"/>
          <w:color w:val="000000" w:themeColor="text1"/>
          <w:sz w:val="32"/>
          <w:szCs w:val="32"/>
          <w14:textFill>
            <w14:solidFill>
              <w14:schemeClr w14:val="tx1"/>
            </w14:solidFill>
          </w14:textFill>
        </w:rPr>
        <w:t>万元，</w:t>
      </w:r>
      <w:r>
        <w:rPr>
          <w:rFonts w:hint="eastAsia" w:ascii="Times New Roman" w:hAnsi="Times New Roman" w:eastAsia="仿宋_GB2312" w:cs="Times New Roman"/>
          <w:color w:val="000000" w:themeColor="text1"/>
          <w:sz w:val="32"/>
          <w:szCs w:val="20"/>
          <w:shd w:val="clear" w:color="auto" w:fill="FFFFFF"/>
          <w:lang w:eastAsia="zh-CN"/>
          <w14:textFill>
            <w14:solidFill>
              <w14:schemeClr w14:val="tx1"/>
            </w14:solidFill>
          </w14:textFill>
        </w:rPr>
        <w:t>与上</w:t>
      </w:r>
      <w:r>
        <w:rPr>
          <w:rFonts w:hint="default" w:ascii="Times New Roman" w:hAnsi="Times New Roman" w:eastAsia="仿宋_GB2312" w:cs="Times New Roman"/>
          <w:color w:val="000000" w:themeColor="text1"/>
          <w:sz w:val="32"/>
          <w:szCs w:val="20"/>
          <w:shd w:val="clear" w:color="auto" w:fill="FFFFFF"/>
          <w14:textFill>
            <w14:solidFill>
              <w14:schemeClr w14:val="tx1"/>
            </w14:solidFill>
          </w14:textFill>
        </w:rPr>
        <w:t>年执行数</w:t>
      </w:r>
      <w:r>
        <w:rPr>
          <w:rFonts w:hint="eastAsia" w:ascii="Times New Roman" w:hAnsi="Times New Roman" w:eastAsia="仿宋_GB2312" w:cs="Times New Roman"/>
          <w:color w:val="000000" w:themeColor="text1"/>
          <w:sz w:val="32"/>
          <w:szCs w:val="20"/>
          <w:shd w:val="clear" w:color="auto" w:fill="FFFFFF"/>
          <w:lang w:eastAsia="zh-CN"/>
          <w14:textFill>
            <w14:solidFill>
              <w14:schemeClr w14:val="tx1"/>
            </w14:solidFill>
          </w14:textFill>
        </w:rPr>
        <w:t>相等</w:t>
      </w:r>
      <w:r>
        <w:rPr>
          <w:rFonts w:hint="default" w:ascii="Times New Roman" w:hAnsi="Times New Roman" w:eastAsia="仿宋_GB2312" w:cs="Times New Roman"/>
          <w:color w:val="000000" w:themeColor="text1"/>
          <w:sz w:val="32"/>
          <w:szCs w:val="32"/>
          <w14:textFill>
            <w14:solidFill>
              <w14:schemeClr w14:val="tx1"/>
            </w14:solidFill>
          </w14:textFill>
        </w:rPr>
        <w:t>。主要用于接待支出。</w:t>
      </w:r>
    </w:p>
    <w:p>
      <w:pPr>
        <w:pStyle w:val="10"/>
        <w:widowControl w:val="0"/>
        <w:spacing w:beforeLines="0" w:afterLines="0" w:line="560" w:lineRule="exact"/>
        <w:ind w:firstLine="642" w:firstLineChars="200"/>
        <w:rPr>
          <w:rFonts w:hint="eastAsia" w:eastAsia="仿宋_GB2312"/>
          <w:sz w:val="32"/>
          <w:szCs w:val="32"/>
          <w:lang w:val="en-US" w:eastAsia="zh-CN"/>
        </w:rPr>
      </w:pPr>
      <w:r>
        <w:rPr>
          <w:rFonts w:hint="default" w:ascii="Times New Roman" w:eastAsia="仿宋_GB2312"/>
          <w:b/>
          <w:bCs/>
          <w:sz w:val="32"/>
          <w:szCs w:val="32"/>
        </w:rPr>
        <w:t>3.公务用车购置及运行维护费</w:t>
      </w:r>
      <w:r>
        <w:rPr>
          <w:rFonts w:hint="default" w:ascii="Times New Roman" w:eastAsia="仿宋_GB2312"/>
          <w:sz w:val="32"/>
          <w:szCs w:val="32"/>
        </w:rPr>
        <w:t>：</w:t>
      </w:r>
      <w:r>
        <w:rPr>
          <w:rFonts w:hint="eastAsia" w:eastAsia="仿宋_GB2312"/>
          <w:sz w:val="32"/>
          <w:szCs w:val="32"/>
          <w:lang w:eastAsia="zh-CN"/>
        </w:rPr>
        <w:t>本单位无公务用车，</w:t>
      </w:r>
      <w:r>
        <w:rPr>
          <w:rFonts w:hint="eastAsia" w:eastAsia="仿宋_GB2312"/>
          <w:sz w:val="32"/>
          <w:szCs w:val="32"/>
          <w:lang w:val="en-US" w:eastAsia="zh-CN"/>
        </w:rPr>
        <w:t>2021年预算未安排</w:t>
      </w:r>
      <w:r>
        <w:rPr>
          <w:rFonts w:hint="eastAsia" w:eastAsia="仿宋_GB2312"/>
          <w:sz w:val="32"/>
          <w:szCs w:val="32"/>
          <w:lang w:eastAsia="zh-CN"/>
        </w:rPr>
        <w:t>公务车辆购置，与上年执行数相同</w:t>
      </w:r>
      <w:r>
        <w:rPr>
          <w:rFonts w:hint="eastAsia" w:eastAsia="仿宋_GB2312"/>
          <w:sz w:val="32"/>
          <w:szCs w:val="32"/>
          <w:lang w:val="en-US" w:eastAsia="zh-CN"/>
        </w:rPr>
        <w:t>。</w:t>
      </w:r>
    </w:p>
    <w:p>
      <w:pPr>
        <w:spacing w:line="560" w:lineRule="exact"/>
        <w:ind w:firstLine="640" w:firstLineChars="200"/>
        <w:rPr>
          <w:rFonts w:ascii="Times New Roman" w:hAnsi="Times New Roman" w:eastAsia="仿宋_GB2312" w:cs="Times New Roman"/>
          <w:sz w:val="32"/>
          <w:szCs w:val="32"/>
        </w:rPr>
      </w:pPr>
    </w:p>
    <w:p>
      <w:pPr>
        <w:spacing w:line="530" w:lineRule="exact"/>
        <w:ind w:firstLine="642" w:firstLineChars="200"/>
        <w:rPr>
          <w:rFonts w:ascii="Times New Roman" w:hAnsi="Times New Roman" w:eastAsia="楷体" w:cs="Times New Roman"/>
          <w:b/>
          <w:bCs/>
          <w:color w:val="000000"/>
          <w:sz w:val="32"/>
          <w:szCs w:val="32"/>
        </w:rPr>
      </w:pPr>
      <w:r>
        <w:rPr>
          <w:rFonts w:ascii="Times New Roman" w:hAnsi="Times New Roman" w:eastAsia="楷体" w:cs="Times New Roman"/>
          <w:b/>
          <w:bCs/>
          <w:color w:val="000000"/>
          <w:sz w:val="32"/>
          <w:szCs w:val="32"/>
        </w:rPr>
        <w:t>（</w:t>
      </w:r>
      <w:r>
        <w:rPr>
          <w:rFonts w:hint="eastAsia" w:ascii="Times New Roman" w:hAnsi="Times New Roman" w:eastAsia="楷体" w:cs="Times New Roman"/>
          <w:b/>
          <w:bCs/>
          <w:color w:val="000000"/>
          <w:sz w:val="32"/>
          <w:szCs w:val="32"/>
          <w:lang w:eastAsia="zh-CN"/>
        </w:rPr>
        <w:t>九</w:t>
      </w:r>
      <w:r>
        <w:rPr>
          <w:rFonts w:ascii="Times New Roman" w:hAnsi="Times New Roman" w:eastAsia="楷体" w:cs="Times New Roman"/>
          <w:b/>
          <w:bCs/>
          <w:color w:val="000000"/>
          <w:sz w:val="32"/>
          <w:szCs w:val="32"/>
        </w:rPr>
        <w:t>）其他重要事项的情况说明</w:t>
      </w:r>
    </w:p>
    <w:p>
      <w:pPr>
        <w:pStyle w:val="10"/>
        <w:widowControl w:val="0"/>
        <w:spacing w:line="560" w:lineRule="exact"/>
        <w:ind w:firstLine="642" w:firstLineChars="200"/>
        <w:rPr>
          <w:rFonts w:eastAsia="仿宋_GB2312"/>
          <w:b/>
          <w:bCs/>
          <w:sz w:val="32"/>
          <w:szCs w:val="32"/>
        </w:rPr>
      </w:pPr>
      <w:r>
        <w:rPr>
          <w:rFonts w:eastAsia="仿宋_GB2312"/>
          <w:b/>
          <w:bCs/>
          <w:sz w:val="32"/>
          <w:szCs w:val="32"/>
        </w:rPr>
        <w:t>1.机关运行经费</w:t>
      </w:r>
    </w:p>
    <w:p>
      <w:pPr>
        <w:pStyle w:val="10"/>
        <w:widowControl w:val="0"/>
        <w:spacing w:line="560" w:lineRule="exact"/>
        <w:ind w:firstLine="640" w:firstLineChars="200"/>
        <w:rPr>
          <w:rFonts w:eastAsia="仿宋_GB2312"/>
          <w:kern w:val="2"/>
          <w:sz w:val="32"/>
          <w:szCs w:val="32"/>
        </w:rPr>
      </w:pPr>
      <w:r>
        <w:rPr>
          <w:rFonts w:hint="eastAsia" w:eastAsia="仿宋_GB2312"/>
          <w:kern w:val="2"/>
          <w:sz w:val="32"/>
          <w:szCs w:val="32"/>
        </w:rPr>
        <w:t>无</w:t>
      </w:r>
    </w:p>
    <w:p>
      <w:pPr>
        <w:pStyle w:val="10"/>
        <w:widowControl w:val="0"/>
        <w:numPr>
          <w:ilvl w:val="0"/>
          <w:numId w:val="3"/>
        </w:numPr>
        <w:spacing w:line="560" w:lineRule="exact"/>
        <w:ind w:firstLine="642" w:firstLineChars="200"/>
        <w:rPr>
          <w:rFonts w:eastAsia="仿宋_GB2312"/>
          <w:b/>
          <w:bCs/>
          <w:sz w:val="32"/>
          <w:szCs w:val="32"/>
        </w:rPr>
      </w:pPr>
      <w:r>
        <w:rPr>
          <w:rFonts w:eastAsia="仿宋_GB2312"/>
          <w:b/>
          <w:bCs/>
          <w:sz w:val="32"/>
          <w:szCs w:val="32"/>
        </w:rPr>
        <w:t>政府采购情况</w:t>
      </w:r>
    </w:p>
    <w:p>
      <w:pPr>
        <w:pStyle w:val="10"/>
        <w:widowControl w:val="0"/>
        <w:spacing w:line="560" w:lineRule="exact"/>
        <w:ind w:firstLine="640" w:firstLineChars="200"/>
        <w:rPr>
          <w:rFonts w:hint="default" w:ascii="Times New Roman" w:eastAsia="仿宋_GB2312"/>
          <w:color w:val="000000"/>
          <w:sz w:val="32"/>
          <w:szCs w:val="32"/>
        </w:rPr>
      </w:pPr>
      <w:r>
        <w:rPr>
          <w:rFonts w:hint="default" w:ascii="Times New Roman" w:eastAsia="仿宋_GB2312"/>
          <w:sz w:val="32"/>
          <w:szCs w:val="32"/>
          <w:lang w:eastAsia="zh-CN"/>
        </w:rPr>
        <w:t>2021</w:t>
      </w:r>
      <w:r>
        <w:rPr>
          <w:rFonts w:hint="default" w:ascii="Times New Roman" w:eastAsia="仿宋_GB2312"/>
          <w:sz w:val="32"/>
          <w:szCs w:val="32"/>
        </w:rPr>
        <w:t>年</w:t>
      </w:r>
      <w:r>
        <w:rPr>
          <w:rFonts w:hint="default" w:ascii="Times New Roman" w:eastAsia="仿宋_GB2312"/>
          <w:color w:val="000000"/>
          <w:sz w:val="32"/>
          <w:szCs w:val="32"/>
        </w:rPr>
        <w:t>金华市</w:t>
      </w:r>
      <w:r>
        <w:rPr>
          <w:rFonts w:hint="eastAsia" w:eastAsia="仿宋_GB2312"/>
          <w:color w:val="000000"/>
          <w:sz w:val="32"/>
          <w:szCs w:val="32"/>
          <w:lang w:eastAsia="zh-CN"/>
        </w:rPr>
        <w:t>自然资源和规划技术中心</w:t>
      </w:r>
      <w:r>
        <w:rPr>
          <w:rFonts w:hint="default" w:ascii="Times New Roman" w:eastAsia="仿宋_GB2312"/>
          <w:color w:val="000000"/>
          <w:sz w:val="32"/>
          <w:szCs w:val="32"/>
        </w:rPr>
        <w:t>预算单位</w:t>
      </w:r>
      <w:r>
        <w:rPr>
          <w:rFonts w:hint="eastAsia" w:eastAsia="仿宋_GB2312"/>
          <w:color w:val="000000"/>
          <w:sz w:val="32"/>
          <w:szCs w:val="32"/>
          <w:lang w:eastAsia="zh-CN"/>
        </w:rPr>
        <w:t>未安排</w:t>
      </w:r>
      <w:r>
        <w:rPr>
          <w:rFonts w:hint="default" w:ascii="Times New Roman" w:eastAsia="仿宋_GB2312"/>
          <w:color w:val="000000"/>
          <w:sz w:val="32"/>
          <w:szCs w:val="32"/>
        </w:rPr>
        <w:t>采购</w:t>
      </w:r>
      <w:r>
        <w:rPr>
          <w:rFonts w:hint="eastAsia" w:eastAsia="仿宋_GB2312"/>
          <w:color w:val="000000"/>
          <w:sz w:val="32"/>
          <w:szCs w:val="32"/>
          <w:lang w:eastAsia="zh-CN"/>
        </w:rPr>
        <w:t>资金</w:t>
      </w:r>
      <w:r>
        <w:rPr>
          <w:rFonts w:hint="default" w:ascii="Times New Roman" w:eastAsia="仿宋_GB2312"/>
          <w:color w:val="000000"/>
          <w:sz w:val="32"/>
          <w:szCs w:val="32"/>
        </w:rPr>
        <w:t>，其中：政府采购货物预算</w:t>
      </w:r>
      <w:r>
        <w:rPr>
          <w:rFonts w:hint="eastAsia" w:eastAsia="仿宋_GB2312"/>
          <w:color w:val="000000"/>
          <w:sz w:val="32"/>
          <w:szCs w:val="32"/>
          <w:lang w:val="en-US" w:eastAsia="zh-CN"/>
        </w:rPr>
        <w:t>0万元、</w:t>
      </w:r>
      <w:r>
        <w:rPr>
          <w:rFonts w:hint="default" w:ascii="Times New Roman" w:eastAsia="仿宋_GB2312"/>
          <w:color w:val="000000"/>
          <w:sz w:val="32"/>
          <w:szCs w:val="32"/>
        </w:rPr>
        <w:t>政府采购工程预算</w:t>
      </w:r>
      <w:r>
        <w:rPr>
          <w:rFonts w:hint="eastAsia" w:eastAsia="仿宋_GB2312"/>
          <w:color w:val="000000"/>
          <w:sz w:val="32"/>
          <w:szCs w:val="32"/>
          <w:lang w:val="en-US" w:eastAsia="zh-CN"/>
        </w:rPr>
        <w:t>0万元</w:t>
      </w:r>
      <w:r>
        <w:rPr>
          <w:rFonts w:hint="default" w:ascii="Times New Roman" w:eastAsia="仿宋_GB2312"/>
          <w:color w:val="000000"/>
          <w:sz w:val="32"/>
          <w:szCs w:val="32"/>
        </w:rPr>
        <w:t>、政府采购服务预算</w:t>
      </w:r>
      <w:r>
        <w:rPr>
          <w:rFonts w:hint="eastAsia" w:eastAsia="仿宋_GB2312"/>
          <w:color w:val="000000"/>
          <w:sz w:val="32"/>
          <w:szCs w:val="32"/>
          <w:lang w:val="en-US" w:eastAsia="zh-CN"/>
        </w:rPr>
        <w:t>0万元</w:t>
      </w:r>
      <w:r>
        <w:rPr>
          <w:rFonts w:hint="default" w:ascii="Times New Roman" w:eastAsia="仿宋_GB2312"/>
          <w:color w:val="000000"/>
          <w:sz w:val="32"/>
          <w:szCs w:val="32"/>
        </w:rPr>
        <w:t>。</w:t>
      </w:r>
    </w:p>
    <w:p>
      <w:pPr>
        <w:pStyle w:val="10"/>
        <w:widowControl w:val="0"/>
        <w:spacing w:line="560" w:lineRule="exact"/>
        <w:ind w:firstLine="640" w:firstLineChars="200"/>
        <w:rPr>
          <w:rFonts w:eastAsia="仿宋_GB2312"/>
          <w:sz w:val="32"/>
          <w:szCs w:val="32"/>
        </w:rPr>
      </w:pPr>
      <w:r>
        <w:rPr>
          <w:rFonts w:hint="eastAsia" w:ascii="Times New Roman" w:eastAsia="仿宋_GB2312"/>
          <w:color w:val="000000"/>
          <w:sz w:val="32"/>
          <w:szCs w:val="32"/>
          <w:lang w:eastAsia="zh-CN"/>
        </w:rPr>
        <w:t>：</w:t>
      </w:r>
      <w:r>
        <w:rPr>
          <w:rFonts w:eastAsia="仿宋_GB2312"/>
          <w:b/>
          <w:bCs/>
          <w:sz w:val="32"/>
          <w:szCs w:val="32"/>
        </w:rPr>
        <w:t>3.国有资产占有使用情况</w:t>
      </w:r>
    </w:p>
    <w:p>
      <w:pPr>
        <w:spacing w:line="560" w:lineRule="exact"/>
        <w:ind w:firstLine="664" w:firstLineChars="200"/>
        <w:rPr>
          <w:rFonts w:ascii="Times New Roman" w:hAnsi="Times New Roman" w:eastAsia="仿宋_GB2312" w:cs="Times New Roman"/>
          <w:color w:val="FF0000"/>
          <w:sz w:val="32"/>
          <w:szCs w:val="32"/>
        </w:rPr>
      </w:pPr>
      <w:r>
        <w:rPr>
          <w:rFonts w:ascii="Times New Roman" w:hAnsi="Times New Roman" w:eastAsia="仿宋_GB2312" w:cs="Times New Roman"/>
          <w:spacing w:val="6"/>
          <w:sz w:val="32"/>
          <w:szCs w:val="32"/>
        </w:rPr>
        <w:t>截至2020年12月31日，</w:t>
      </w:r>
      <w:r>
        <w:rPr>
          <w:rFonts w:ascii="Times New Roman" w:hAnsi="Times New Roman" w:eastAsia="仿宋_GB2312" w:cs="Times New Roman"/>
          <w:bCs/>
          <w:color w:val="000000"/>
          <w:sz w:val="32"/>
          <w:szCs w:val="32"/>
        </w:rPr>
        <w:t>金华市</w:t>
      </w:r>
      <w:r>
        <w:rPr>
          <w:rFonts w:ascii="Times New Roman" w:hAnsi="Times New Roman" w:eastAsia="楷体" w:cs="Times New Roman"/>
          <w:bCs/>
          <w:color w:val="000000"/>
          <w:sz w:val="32"/>
          <w:szCs w:val="32"/>
        </w:rPr>
        <w:t>自然资源和规划技术中心</w:t>
      </w:r>
      <w:r>
        <w:rPr>
          <w:rFonts w:ascii="Times New Roman" w:hAnsi="Times New Roman" w:eastAsia="仿宋_GB2312" w:cs="Times New Roman"/>
          <w:spacing w:val="6"/>
          <w:sz w:val="32"/>
          <w:szCs w:val="32"/>
        </w:rPr>
        <w:t>共有车辆</w:t>
      </w:r>
      <w:r>
        <w:rPr>
          <w:rFonts w:ascii="Times New Roman" w:hAnsi="Times New Roman" w:eastAsia="仿宋_GB2312" w:cs="Times New Roman"/>
          <w:sz w:val="32"/>
          <w:szCs w:val="32"/>
        </w:rPr>
        <w:t>0辆</w:t>
      </w:r>
      <w:r>
        <w:rPr>
          <w:rFonts w:ascii="Times New Roman" w:hAnsi="Times New Roman" w:eastAsia="仿宋_GB2312" w:cs="Times New Roman"/>
          <w:color w:val="000000"/>
          <w:sz w:val="32"/>
          <w:szCs w:val="32"/>
        </w:rPr>
        <w:t xml:space="preserve">。单位价值50万元以上通用设备0台（套），单位价值100万元以上专用设备0台（套）。 </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sz w:val="32"/>
          <w:szCs w:val="32"/>
        </w:rPr>
        <w:t>2021年部门预算安排购置车辆0辆</w:t>
      </w:r>
      <w:r>
        <w:rPr>
          <w:rFonts w:ascii="Times New Roman" w:hAnsi="Times New Roman" w:eastAsia="仿宋_GB2312" w:cs="Times New Roman"/>
          <w:sz w:val="32"/>
          <w:szCs w:val="32"/>
        </w:rPr>
        <w:t>。</w:t>
      </w:r>
      <w:r>
        <w:rPr>
          <w:rFonts w:ascii="Times New Roman" w:hAnsi="Times New Roman" w:eastAsia="仿宋_GB2312" w:cs="Times New Roman"/>
          <w:color w:val="000000"/>
          <w:sz w:val="32"/>
          <w:szCs w:val="32"/>
        </w:rPr>
        <w:t>2021年部门</w:t>
      </w:r>
      <w:r>
        <w:rPr>
          <w:rFonts w:ascii="Times New Roman" w:hAnsi="Times New Roman" w:eastAsia="仿宋_GB2312" w:cs="Times New Roman"/>
          <w:sz w:val="32"/>
          <w:szCs w:val="32"/>
        </w:rPr>
        <w:t>预算安排购置单位价值50万元以上通用设备0台（套），单位价值100万元以上专用设备0台（套）。</w:t>
      </w:r>
    </w:p>
    <w:p>
      <w:pPr>
        <w:pStyle w:val="10"/>
        <w:widowControl w:val="0"/>
        <w:spacing w:line="560" w:lineRule="exact"/>
        <w:ind w:firstLine="642" w:firstLineChars="200"/>
        <w:rPr>
          <w:rFonts w:eastAsia="仿宋_GB2312"/>
          <w:b/>
          <w:bCs/>
          <w:sz w:val="32"/>
          <w:szCs w:val="32"/>
        </w:rPr>
      </w:pPr>
      <w:r>
        <w:rPr>
          <w:rFonts w:eastAsia="仿宋_GB2312"/>
          <w:b/>
          <w:bCs/>
          <w:sz w:val="32"/>
          <w:szCs w:val="32"/>
        </w:rPr>
        <w:t>4.绩效目标设置情况</w:t>
      </w:r>
    </w:p>
    <w:p>
      <w:pPr>
        <w:pStyle w:val="10"/>
        <w:widowControl w:val="0"/>
        <w:spacing w:line="560" w:lineRule="exact"/>
        <w:ind w:firstLine="640" w:firstLineChars="200"/>
        <w:rPr>
          <w:rFonts w:eastAsia="仿宋_GB2312"/>
          <w:color w:val="000000"/>
          <w:sz w:val="32"/>
          <w:szCs w:val="32"/>
        </w:rPr>
      </w:pPr>
      <w:r>
        <w:rPr>
          <w:rFonts w:eastAsia="仿宋_GB2312"/>
          <w:sz w:val="32"/>
          <w:szCs w:val="32"/>
        </w:rPr>
        <w:t>⑴总体情况。2021年</w:t>
      </w:r>
      <w:r>
        <w:rPr>
          <w:rFonts w:eastAsia="仿宋_GB2312"/>
          <w:bCs/>
          <w:color w:val="000000"/>
          <w:sz w:val="32"/>
          <w:szCs w:val="32"/>
        </w:rPr>
        <w:t>金华市</w:t>
      </w:r>
      <w:r>
        <w:rPr>
          <w:rFonts w:eastAsia="楷体"/>
          <w:bCs/>
          <w:color w:val="000000"/>
          <w:sz w:val="32"/>
          <w:szCs w:val="32"/>
        </w:rPr>
        <w:t>自然资源和规划技术中心</w:t>
      </w:r>
      <w:r>
        <w:rPr>
          <w:rFonts w:eastAsia="仿宋_GB2312"/>
          <w:color w:val="000000"/>
          <w:sz w:val="32"/>
          <w:szCs w:val="32"/>
        </w:rPr>
        <w:t>其他运转类项目和特定目标类项目均实行绩效目标管理，涉及一般公共预算当年拨款22万元。</w:t>
      </w:r>
    </w:p>
    <w:p>
      <w:pPr>
        <w:pStyle w:val="10"/>
        <w:widowControl w:val="0"/>
        <w:spacing w:beforeLines="0" w:afterLines="0" w:line="560" w:lineRule="exact"/>
        <w:ind w:firstLine="960" w:firstLineChars="300"/>
        <w:rPr>
          <w:rFonts w:hint="eastAsia" w:eastAsia="仿宋_GB2312"/>
          <w:color w:val="000000"/>
          <w:sz w:val="32"/>
          <w:szCs w:val="32"/>
          <w:lang w:val="en-US" w:eastAsia="zh-CN"/>
        </w:rPr>
      </w:pPr>
      <w:r>
        <w:rPr>
          <w:rFonts w:eastAsia="仿宋_GB2312"/>
          <w:bCs/>
          <w:sz w:val="32"/>
          <w:szCs w:val="32"/>
        </w:rPr>
        <w:t>⑵重点项目情况</w:t>
      </w:r>
      <w:r>
        <w:rPr>
          <w:rFonts w:hint="eastAsia" w:eastAsia="仿宋_GB2312"/>
          <w:bCs/>
          <w:sz w:val="32"/>
          <w:szCs w:val="32"/>
          <w:lang w:eastAsia="zh-CN"/>
        </w:rPr>
        <w:t>：</w:t>
      </w:r>
      <w:r>
        <w:rPr>
          <w:rFonts w:hint="eastAsia" w:eastAsia="仿宋_GB2312"/>
          <w:bCs/>
          <w:sz w:val="32"/>
          <w:szCs w:val="32"/>
          <w:highlight w:val="none"/>
          <w:lang w:val="en-US" w:eastAsia="zh-CN"/>
        </w:rPr>
        <w:t>2021年</w:t>
      </w:r>
      <w:r>
        <w:rPr>
          <w:rFonts w:hint="default" w:ascii="Times New Roman" w:eastAsia="仿宋_GB2312"/>
          <w:color w:val="000000"/>
          <w:sz w:val="32"/>
          <w:szCs w:val="32"/>
        </w:rPr>
        <w:t>金华市</w:t>
      </w:r>
      <w:r>
        <w:rPr>
          <w:rFonts w:hint="eastAsia" w:eastAsia="仿宋_GB2312"/>
          <w:color w:val="000000"/>
          <w:sz w:val="32"/>
          <w:szCs w:val="32"/>
          <w:lang w:eastAsia="zh-CN"/>
        </w:rPr>
        <w:t>自然资源和规划技术中心信自然资源和规划技术服务资金共</w:t>
      </w:r>
      <w:r>
        <w:rPr>
          <w:rFonts w:hint="eastAsia" w:eastAsia="仿宋_GB2312"/>
          <w:color w:val="000000"/>
          <w:sz w:val="32"/>
          <w:szCs w:val="32"/>
          <w:lang w:val="en-US" w:eastAsia="zh-CN"/>
        </w:rPr>
        <w:t>22万元，</w:t>
      </w:r>
      <w:r>
        <w:rPr>
          <w:rFonts w:hint="eastAsia" w:eastAsia="仿宋_GB2312"/>
          <w:color w:val="000000"/>
          <w:sz w:val="32"/>
          <w:szCs w:val="32"/>
          <w:lang w:eastAsia="zh-CN"/>
        </w:rPr>
        <w:t>绩效</w:t>
      </w:r>
      <w:r>
        <w:rPr>
          <w:rFonts w:hint="eastAsia" w:eastAsia="仿宋_GB2312"/>
          <w:color w:val="000000"/>
          <w:sz w:val="32"/>
          <w:szCs w:val="32"/>
          <w:lang w:val="en-US" w:eastAsia="zh-CN"/>
        </w:rPr>
        <w:t>目标为负责市自然资源和规划电子政务系统、网络基础设施和公共数据资源库的建设、运维等工作。落实省厅、市政府对自然资源信息化的有关要求，实现自然资源从传统管理到精准治理的转变。</w:t>
      </w:r>
    </w:p>
    <w:p>
      <w:pPr>
        <w:pStyle w:val="10"/>
        <w:widowControl w:val="0"/>
        <w:spacing w:beforeLines="0" w:afterLines="0" w:line="560" w:lineRule="exact"/>
        <w:ind w:firstLine="960" w:firstLineChars="300"/>
        <w:rPr>
          <w:rFonts w:hint="eastAsia" w:eastAsia="仿宋_GB2312"/>
          <w:color w:val="000000"/>
          <w:sz w:val="32"/>
          <w:szCs w:val="32"/>
          <w:lang w:val="en-US" w:eastAsia="zh-CN"/>
        </w:rPr>
      </w:pPr>
      <w:r>
        <w:rPr>
          <w:rFonts w:hint="eastAsia" w:eastAsia="仿宋_GB2312"/>
          <w:color w:val="000000"/>
          <w:sz w:val="32"/>
          <w:szCs w:val="32"/>
          <w:lang w:val="en-US" w:eastAsia="zh-CN"/>
        </w:rPr>
        <w:t>本单位2021年预算仅安排</w:t>
      </w:r>
      <w:r>
        <w:rPr>
          <w:rFonts w:hint="eastAsia" w:eastAsia="仿宋_GB2312"/>
          <w:color w:val="000000"/>
          <w:sz w:val="32"/>
          <w:szCs w:val="32"/>
          <w:lang w:eastAsia="zh-CN"/>
        </w:rPr>
        <w:t>自然资源和规划技术服务</w:t>
      </w:r>
      <w:r>
        <w:rPr>
          <w:rFonts w:hint="eastAsia" w:eastAsia="仿宋_GB2312"/>
          <w:color w:val="000000"/>
          <w:sz w:val="32"/>
          <w:szCs w:val="32"/>
          <w:lang w:val="en-US" w:eastAsia="zh-CN"/>
        </w:rPr>
        <w:t>一个专项。</w:t>
      </w:r>
    </w:p>
    <w:p>
      <w:pPr>
        <w:pStyle w:val="10"/>
        <w:widowControl w:val="0"/>
        <w:numPr>
          <w:ilvl w:val="0"/>
          <w:numId w:val="4"/>
        </w:numPr>
        <w:spacing w:line="560" w:lineRule="exact"/>
        <w:ind w:firstLine="642" w:firstLineChars="200"/>
        <w:rPr>
          <w:rFonts w:hint="eastAsia" w:eastAsia="仿宋_GB2312"/>
          <w:b/>
          <w:bCs/>
          <w:sz w:val="32"/>
          <w:szCs w:val="32"/>
        </w:rPr>
      </w:pPr>
      <w:r>
        <w:rPr>
          <w:rFonts w:eastAsia="仿宋_GB2312"/>
          <w:b/>
          <w:bCs/>
          <w:sz w:val="32"/>
          <w:szCs w:val="32"/>
        </w:rPr>
        <w:t>以部门为主体的绩效目标</w:t>
      </w:r>
      <w:r>
        <w:rPr>
          <w:rFonts w:hint="eastAsia" w:eastAsia="仿宋_GB2312"/>
          <w:b/>
          <w:bCs/>
          <w:sz w:val="32"/>
          <w:szCs w:val="32"/>
        </w:rPr>
        <w:t>：</w:t>
      </w:r>
    </w:p>
    <w:p>
      <w:pPr>
        <w:pStyle w:val="10"/>
        <w:widowControl w:val="0"/>
        <w:numPr>
          <w:ilvl w:val="0"/>
          <w:numId w:val="0"/>
        </w:numPr>
        <w:spacing w:line="560" w:lineRule="exact"/>
        <w:rPr>
          <w:rFonts w:hint="default" w:eastAsia="仿宋_GB2312"/>
          <w:b/>
          <w:bCs/>
          <w:sz w:val="32"/>
          <w:szCs w:val="32"/>
          <w:lang w:val="en-US" w:eastAsia="zh-CN"/>
        </w:rPr>
      </w:pPr>
      <w:r>
        <w:rPr>
          <w:rFonts w:hint="eastAsia" w:eastAsia="仿宋_GB2312"/>
          <w:b/>
          <w:bCs/>
          <w:sz w:val="32"/>
          <w:szCs w:val="32"/>
          <w:lang w:val="en-US" w:eastAsia="zh-CN"/>
        </w:rPr>
        <w:t xml:space="preserve">    </w:t>
      </w:r>
      <w:r>
        <w:rPr>
          <w:rFonts w:hint="eastAsia" w:ascii="Times New Roman" w:eastAsia="仿宋_GB2312"/>
          <w:b w:val="0"/>
          <w:bCs w:val="0"/>
          <w:sz w:val="32"/>
          <w:szCs w:val="32"/>
          <w:highlight w:val="none"/>
          <w:lang w:val="en-US" w:eastAsia="zh-CN"/>
        </w:rPr>
        <w:t>2021年</w:t>
      </w:r>
      <w:r>
        <w:rPr>
          <w:rFonts w:hint="default" w:ascii="Times New Roman" w:eastAsia="仿宋_GB2312"/>
          <w:color w:val="000000"/>
          <w:sz w:val="32"/>
          <w:szCs w:val="32"/>
        </w:rPr>
        <w:t>金华市</w:t>
      </w:r>
      <w:r>
        <w:rPr>
          <w:rFonts w:hint="eastAsia" w:eastAsia="仿宋_GB2312"/>
          <w:color w:val="000000"/>
          <w:sz w:val="32"/>
          <w:szCs w:val="32"/>
          <w:lang w:eastAsia="zh-CN"/>
        </w:rPr>
        <w:t>自然资源和规划技术中心</w:t>
      </w:r>
      <w:r>
        <w:rPr>
          <w:rFonts w:hint="eastAsia" w:ascii="Times New Roman" w:eastAsia="仿宋_GB2312"/>
          <w:b w:val="0"/>
          <w:bCs w:val="0"/>
          <w:sz w:val="32"/>
          <w:szCs w:val="32"/>
          <w:highlight w:val="none"/>
          <w:lang w:val="en-US" w:eastAsia="zh-CN"/>
        </w:rPr>
        <w:t>未进行以部门为主体的绩效目标管理，无相关绩效目标。</w:t>
      </w:r>
    </w:p>
    <w:p>
      <w:pPr>
        <w:pStyle w:val="10"/>
        <w:widowControl w:val="0"/>
        <w:spacing w:line="530" w:lineRule="exact"/>
        <w:ind w:firstLine="642" w:firstLineChars="200"/>
        <w:rPr>
          <w:rStyle w:val="7"/>
          <w:rFonts w:ascii="Times New Roman" w:hAnsi="Times New Roman" w:eastAsia="黑体" w:cs="Times New Roman"/>
          <w:b/>
          <w:bCs w:val="0"/>
        </w:rPr>
      </w:pPr>
      <w:r>
        <w:rPr>
          <w:rStyle w:val="7"/>
          <w:rFonts w:hint="default" w:ascii="Times New Roman" w:hAnsi="Times New Roman" w:eastAsia="黑体" w:cs="Times New Roman"/>
          <w:b/>
          <w:bCs w:val="0"/>
        </w:rPr>
        <w:t>三、名词解释</w:t>
      </w:r>
    </w:p>
    <w:p>
      <w:pPr>
        <w:spacing w:beforeLines="0" w:afterLines="0" w:line="560" w:lineRule="exact"/>
        <w:ind w:firstLine="642" w:firstLineChars="200"/>
        <w:rPr>
          <w:rFonts w:ascii="Times New Roman" w:hAnsi="Times New Roman" w:eastAsia="仿宋_GB2312" w:cs="Times New Roman"/>
          <w:bCs/>
          <w:color w:val="000000"/>
          <w:sz w:val="32"/>
          <w:szCs w:val="32"/>
        </w:rPr>
      </w:pPr>
      <w:r>
        <w:rPr>
          <w:rFonts w:hint="default" w:ascii="Times New Roman" w:hAnsi="Times New Roman" w:eastAsia="仿宋_GB2312" w:cs="Times New Roman"/>
          <w:b/>
          <w:bCs/>
          <w:color w:val="000000"/>
          <w:sz w:val="32"/>
          <w:szCs w:val="32"/>
        </w:rPr>
        <w:t>1.财政拨款收入：</w:t>
      </w:r>
      <w:r>
        <w:rPr>
          <w:rFonts w:hint="default" w:ascii="Times New Roman" w:hAnsi="Times New Roman" w:eastAsia="仿宋_GB2312" w:cs="Times New Roman"/>
          <w:sz w:val="32"/>
          <w:szCs w:val="32"/>
        </w:rPr>
        <w:t>本级</w:t>
      </w:r>
      <w:bookmarkStart w:id="0" w:name="_GoBack"/>
      <w:bookmarkEnd w:id="0"/>
      <w:r>
        <w:rPr>
          <w:rFonts w:hint="default" w:ascii="Times New Roman" w:hAnsi="Times New Roman" w:eastAsia="仿宋_GB2312" w:cs="Times New Roman"/>
          <w:sz w:val="32"/>
          <w:szCs w:val="32"/>
        </w:rPr>
        <w:t>财政部门当年拨付的财政预算资金，包括一般公共预算财政拨款和政府性基金预算财政拨款。</w:t>
      </w:r>
    </w:p>
    <w:p>
      <w:pPr>
        <w:spacing w:beforeLines="0" w:afterLines="0" w:line="560" w:lineRule="exact"/>
        <w:ind w:firstLine="642" w:firstLineChars="200"/>
        <w:rPr>
          <w:rFonts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2.财政专户管理的资金:</w:t>
      </w:r>
      <w:r>
        <w:rPr>
          <w:rFonts w:hint="default" w:ascii="Times New Roman" w:hAnsi="Times New Roman" w:eastAsia="仿宋_GB2312" w:cs="Times New Roman"/>
          <w:bCs/>
          <w:color w:val="000000"/>
          <w:sz w:val="32"/>
          <w:szCs w:val="32"/>
        </w:rPr>
        <w:t>财政部门在银行开设的用于核算和反映政府非税收入以及其他需要</w:t>
      </w:r>
      <w:r>
        <w:rPr>
          <w:rFonts w:ascii="Times New Roman" w:hAnsi="Times New Roman" w:eastAsia="仿宋_GB2312" w:cs="Times New Roman"/>
          <w:sz w:val="32"/>
          <w:szCs w:val="32"/>
        </w:rPr>
        <w:t>专户管理的资金。</w:t>
      </w:r>
    </w:p>
    <w:p>
      <w:pPr>
        <w:spacing w:beforeLines="0" w:afterLines="0" w:line="560" w:lineRule="exact"/>
        <w:ind w:firstLine="642" w:firstLineChars="200"/>
        <w:jc w:val="left"/>
        <w:rPr>
          <w:rFonts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3.其他收入：</w:t>
      </w:r>
      <w:r>
        <w:rPr>
          <w:rFonts w:hint="default" w:ascii="Times New Roman" w:hAnsi="Times New Roman" w:eastAsia="仿宋_GB2312" w:cs="Times New Roman"/>
          <w:sz w:val="32"/>
          <w:szCs w:val="32"/>
        </w:rPr>
        <w:t>预算单位在“一般公共预算”、“政府性基金”、“财政专户管理的资金”等之外取得的各项收入（含上级补助收入）。</w:t>
      </w:r>
    </w:p>
    <w:p>
      <w:pPr>
        <w:spacing w:beforeLines="0" w:afterLines="0" w:line="560" w:lineRule="exact"/>
        <w:ind w:firstLine="642" w:firstLineChars="200"/>
        <w:rPr>
          <w:rFonts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4.单位结余：</w:t>
      </w:r>
      <w:r>
        <w:rPr>
          <w:rFonts w:hint="default" w:ascii="Times New Roman" w:hAnsi="Times New Roman" w:eastAsia="仿宋_GB2312" w:cs="Times New Roman"/>
          <w:bCs/>
          <w:color w:val="000000"/>
          <w:sz w:val="32"/>
          <w:szCs w:val="32"/>
        </w:rPr>
        <w:t>指事业单位在预计用当年的“财政拨款收入”、“财政专户管理资金”、“其他收入”、“上年结转”等不足以安排当年支出的情况下，使</w:t>
      </w:r>
      <w:r>
        <w:rPr>
          <w:rFonts w:ascii="Times New Roman" w:hAnsi="Times New Roman" w:eastAsia="仿宋_GB2312" w:cs="Times New Roman"/>
          <w:sz w:val="32"/>
          <w:szCs w:val="32"/>
        </w:rPr>
        <w:t>用</w:t>
      </w:r>
      <w:r>
        <w:rPr>
          <w:rFonts w:hint="default" w:ascii="Times New Roman" w:hAnsi="Times New Roman" w:eastAsia="仿宋_GB2312" w:cs="Times New Roman"/>
          <w:sz w:val="32"/>
          <w:szCs w:val="32"/>
        </w:rPr>
        <w:t>以前年度积累的一般结余、</w:t>
      </w:r>
      <w:r>
        <w:rPr>
          <w:rFonts w:ascii="Times New Roman" w:hAnsi="Times New Roman" w:eastAsia="仿宋_GB2312" w:cs="Times New Roman"/>
          <w:sz w:val="32"/>
          <w:szCs w:val="32"/>
        </w:rPr>
        <w:t>事业基金</w:t>
      </w:r>
      <w:r>
        <w:rPr>
          <w:rFonts w:hint="default" w:ascii="Times New Roman" w:hAnsi="Times New Roman" w:eastAsia="仿宋_GB2312" w:cs="Times New Roman"/>
          <w:sz w:val="32"/>
          <w:szCs w:val="32"/>
        </w:rPr>
        <w:t>、专用基金和专项结余等</w:t>
      </w:r>
      <w:r>
        <w:rPr>
          <w:rFonts w:ascii="Times New Roman" w:hAnsi="Times New Roman" w:eastAsia="仿宋_GB2312" w:cs="Times New Roman"/>
          <w:sz w:val="32"/>
          <w:szCs w:val="32"/>
        </w:rPr>
        <w:t>弥补本年收支</w:t>
      </w:r>
      <w:r>
        <w:rPr>
          <w:rFonts w:hint="default" w:ascii="Times New Roman" w:hAnsi="Times New Roman" w:eastAsia="仿宋_GB2312" w:cs="Times New Roman"/>
          <w:sz w:val="32"/>
          <w:szCs w:val="32"/>
        </w:rPr>
        <w:t>缺口的资金。</w:t>
      </w:r>
    </w:p>
    <w:p>
      <w:pPr>
        <w:spacing w:beforeLines="0" w:afterLines="0" w:line="560" w:lineRule="exact"/>
        <w:ind w:firstLine="642" w:firstLineChars="200"/>
        <w:rPr>
          <w:rFonts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5.上年结转：</w:t>
      </w:r>
      <w:r>
        <w:rPr>
          <w:rFonts w:hint="default" w:ascii="Times New Roman" w:hAnsi="Times New Roman" w:eastAsia="仿宋_GB2312" w:cs="Times New Roman"/>
          <w:sz w:val="32"/>
          <w:szCs w:val="32"/>
        </w:rPr>
        <w:t>指以前年度尚未完成、结转到本年仍按原规定用途继续使用的资金。</w:t>
      </w:r>
    </w:p>
    <w:p>
      <w:pPr>
        <w:spacing w:beforeLines="0" w:afterLines="0" w:line="560" w:lineRule="exact"/>
        <w:ind w:firstLine="642" w:firstLineChars="200"/>
        <w:jc w:val="left"/>
        <w:rPr>
          <w:rFonts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6.基本支出：</w:t>
      </w:r>
      <w:r>
        <w:rPr>
          <w:rFonts w:hint="default" w:ascii="Times New Roman" w:hAnsi="Times New Roman" w:eastAsia="仿宋_GB2312" w:cs="Times New Roman"/>
          <w:sz w:val="32"/>
          <w:szCs w:val="32"/>
        </w:rPr>
        <w:t>是预算单位为保障其正常运转，完成日常工作任务所发生的支出，包括人员支出和日常公用支出。</w:t>
      </w:r>
    </w:p>
    <w:p>
      <w:pPr>
        <w:spacing w:beforeLines="0" w:afterLines="0" w:line="560" w:lineRule="exact"/>
        <w:ind w:firstLine="642" w:firstLineChars="200"/>
        <w:jc w:val="left"/>
        <w:rPr>
          <w:rFonts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7.项目支出：</w:t>
      </w:r>
      <w:r>
        <w:rPr>
          <w:rFonts w:hint="default" w:ascii="Times New Roman" w:hAnsi="Times New Roman" w:eastAsia="仿宋_GB2312" w:cs="Times New Roman"/>
          <w:sz w:val="32"/>
          <w:szCs w:val="32"/>
        </w:rPr>
        <w:t>是预算单位为完成其特定的行政工作任务或事业发展目标所发生的支出。</w:t>
      </w:r>
    </w:p>
    <w:p>
      <w:pPr>
        <w:snapToGrid w:val="0"/>
        <w:spacing w:beforeLines="0" w:afterLines="0" w:line="560" w:lineRule="exact"/>
        <w:ind w:firstLine="642" w:firstLineChars="200"/>
        <w:rPr>
          <w:rFonts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8.“三公”经费：</w:t>
      </w:r>
      <w:r>
        <w:rPr>
          <w:rFonts w:hint="default" w:ascii="Times New Roman" w:hAnsi="Times New Roman" w:eastAsia="仿宋_GB2312" w:cs="Times New Roman"/>
          <w:sz w:val="32"/>
          <w:szCs w:val="32"/>
          <w:highlight w:val="none"/>
        </w:rPr>
        <w:t>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snapToGrid w:val="0"/>
        <w:spacing w:beforeLines="0" w:afterLines="0" w:line="560" w:lineRule="exact"/>
        <w:ind w:firstLine="642" w:firstLineChars="200"/>
        <w:rPr>
          <w:rFonts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9.机关运行经费：</w:t>
      </w:r>
      <w:r>
        <w:rPr>
          <w:rFonts w:hint="default" w:ascii="Times New Roman" w:hAnsi="Times New Roman" w:eastAsia="仿宋_GB2312" w:cs="Times New Roman"/>
          <w:sz w:val="32"/>
          <w:szCs w:val="32"/>
          <w:highlight w:val="none"/>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napToGrid w:val="0"/>
        <w:spacing w:beforeLines="0" w:afterLines="0" w:line="560" w:lineRule="exact"/>
        <w:ind w:firstLine="640" w:firstLineChars="200"/>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b w:val="0"/>
          <w:bCs w:val="0"/>
          <w:sz w:val="32"/>
          <w:szCs w:val="32"/>
          <w:highlight w:val="none"/>
          <w:lang w:val="en-US" w:eastAsia="zh-CN"/>
        </w:rPr>
        <w:t>10.</w:t>
      </w:r>
      <w:r>
        <w:rPr>
          <w:rFonts w:hint="default" w:ascii="Times New Roman" w:hAnsi="Times New Roman" w:eastAsia="仿宋_GB2312" w:cs="Times New Roman"/>
          <w:b w:val="0"/>
          <w:bCs w:val="0"/>
          <w:sz w:val="32"/>
          <w:szCs w:val="32"/>
          <w:highlight w:val="none"/>
        </w:rPr>
        <w:t>教育支出</w:t>
      </w:r>
      <w:r>
        <w:rPr>
          <w:rFonts w:hint="default" w:ascii="Times New Roman" w:hAnsi="Times New Roman" w:eastAsia="仿宋_GB2312" w:cs="Times New Roman"/>
          <w:sz w:val="32"/>
          <w:szCs w:val="32"/>
          <w:highlight w:val="none"/>
        </w:rPr>
        <w:t>（类）进修及培训（款）培训支出（项）反映各部门安排的用于培训的支出。教育部门的师资培训，党校、行政学院等专业干部教育机构的支出，以及退役士兵、转业士官的培训支出，不在本科目反映。</w:t>
      </w:r>
    </w:p>
    <w:p>
      <w:pPr>
        <w:snapToGrid w:val="0"/>
        <w:spacing w:beforeLines="0" w:afterLines="0" w:line="560" w:lineRule="exact"/>
        <w:ind w:firstLine="640" w:firstLineChars="200"/>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b w:val="0"/>
          <w:bCs w:val="0"/>
          <w:sz w:val="32"/>
          <w:szCs w:val="32"/>
          <w:highlight w:val="none"/>
          <w:lang w:val="en-US" w:eastAsia="zh-CN"/>
        </w:rPr>
        <w:t>11.</w:t>
      </w:r>
      <w:r>
        <w:rPr>
          <w:rFonts w:hint="default" w:ascii="Times New Roman" w:hAnsi="Times New Roman" w:eastAsia="仿宋_GB2312" w:cs="Times New Roman"/>
          <w:b w:val="0"/>
          <w:bCs w:val="0"/>
          <w:sz w:val="32"/>
          <w:szCs w:val="32"/>
          <w:highlight w:val="none"/>
        </w:rPr>
        <w:t>社会保障和就业支出</w:t>
      </w:r>
      <w:r>
        <w:rPr>
          <w:rFonts w:hint="default" w:ascii="Times New Roman" w:hAnsi="Times New Roman" w:eastAsia="仿宋_GB2312" w:cs="Times New Roman"/>
          <w:sz w:val="32"/>
          <w:szCs w:val="32"/>
          <w:highlight w:val="none"/>
        </w:rPr>
        <w:t>（类）行政事业单位养老支出（款）机关事业单位基本养老保险缴费支出（项）反映机关事业单位实施养老保险制度由单位缴纳的基本养老保险支出。</w:t>
      </w:r>
    </w:p>
    <w:p>
      <w:pPr>
        <w:snapToGrid w:val="0"/>
        <w:spacing w:beforeLines="0" w:afterLines="0" w:line="560" w:lineRule="exact"/>
        <w:ind w:firstLine="640" w:firstLineChars="200"/>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b w:val="0"/>
          <w:bCs w:val="0"/>
          <w:sz w:val="32"/>
          <w:szCs w:val="32"/>
          <w:highlight w:val="none"/>
          <w:lang w:val="en-US" w:eastAsia="zh-CN"/>
        </w:rPr>
        <w:t>12.</w:t>
      </w:r>
      <w:r>
        <w:rPr>
          <w:rFonts w:hint="default" w:ascii="Times New Roman" w:hAnsi="Times New Roman" w:eastAsia="仿宋_GB2312" w:cs="Times New Roman"/>
          <w:b w:val="0"/>
          <w:bCs w:val="0"/>
          <w:sz w:val="32"/>
          <w:szCs w:val="32"/>
          <w:highlight w:val="none"/>
        </w:rPr>
        <w:t>社会保障和就业支出</w:t>
      </w:r>
      <w:r>
        <w:rPr>
          <w:rFonts w:hint="default" w:ascii="Times New Roman" w:hAnsi="Times New Roman" w:eastAsia="仿宋_GB2312" w:cs="Times New Roman"/>
          <w:sz w:val="32"/>
          <w:szCs w:val="32"/>
          <w:highlight w:val="none"/>
        </w:rPr>
        <w:t>（类）行政事业单位养老支出（款）机关事业单位职业年金缴费支出（项）反映机关事业单位实施养老保险制度由单位缴纳的职业年金支出。</w:t>
      </w:r>
    </w:p>
    <w:p>
      <w:pPr>
        <w:snapToGrid w:val="0"/>
        <w:spacing w:beforeLines="0" w:afterLines="0" w:line="560" w:lineRule="exact"/>
        <w:ind w:firstLine="640" w:firstLineChars="200"/>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b w:val="0"/>
          <w:bCs w:val="0"/>
          <w:sz w:val="32"/>
          <w:szCs w:val="32"/>
          <w:highlight w:val="none"/>
          <w:lang w:val="en-US" w:eastAsia="zh-CN"/>
        </w:rPr>
        <w:t>13.</w:t>
      </w:r>
      <w:r>
        <w:rPr>
          <w:rFonts w:hint="default" w:ascii="Times New Roman" w:hAnsi="Times New Roman" w:eastAsia="仿宋_GB2312" w:cs="Times New Roman"/>
          <w:b w:val="0"/>
          <w:bCs w:val="0"/>
          <w:sz w:val="32"/>
          <w:szCs w:val="32"/>
          <w:highlight w:val="none"/>
        </w:rPr>
        <w:t>卫生健康支出</w:t>
      </w:r>
      <w:r>
        <w:rPr>
          <w:rFonts w:hint="default" w:ascii="Times New Roman" w:hAnsi="Times New Roman" w:eastAsia="仿宋_GB2312" w:cs="Times New Roman"/>
          <w:sz w:val="32"/>
          <w:szCs w:val="32"/>
          <w:highlight w:val="none"/>
        </w:rPr>
        <w:t>（类）行政事业单位医疗（款）事业单位医疗（项）反映财政部门安排的事业单位基本医疗保险缴费经费，未参加医疗保险的事业单位的公费医疗经费，按国家规定享受离休人员待遇的医疗经费。</w:t>
      </w:r>
    </w:p>
    <w:p>
      <w:pPr>
        <w:snapToGrid w:val="0"/>
        <w:spacing w:beforeLines="0" w:afterLines="0" w:line="560" w:lineRule="exact"/>
        <w:ind w:firstLine="640" w:firstLineChars="200"/>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b w:val="0"/>
          <w:bCs w:val="0"/>
          <w:sz w:val="32"/>
          <w:szCs w:val="32"/>
          <w:highlight w:val="none"/>
          <w:lang w:val="en-US" w:eastAsia="zh-CN"/>
        </w:rPr>
        <w:t>14.</w:t>
      </w:r>
      <w:r>
        <w:rPr>
          <w:rFonts w:hint="default" w:ascii="Times New Roman" w:hAnsi="Times New Roman" w:eastAsia="仿宋_GB2312" w:cs="Times New Roman"/>
          <w:b w:val="0"/>
          <w:bCs w:val="0"/>
          <w:sz w:val="32"/>
          <w:szCs w:val="32"/>
          <w:highlight w:val="none"/>
        </w:rPr>
        <w:t>自然资源海洋气象等支出</w:t>
      </w:r>
      <w:r>
        <w:rPr>
          <w:rFonts w:hint="default" w:ascii="Times New Roman" w:hAnsi="Times New Roman" w:eastAsia="仿宋_GB2312" w:cs="Times New Roman"/>
          <w:sz w:val="32"/>
          <w:szCs w:val="32"/>
          <w:highlight w:val="none"/>
        </w:rPr>
        <w:t>（类）自然资源事务（款）事业运行(国土资源事务）（项）反映事业单位的基本支出，不包括行政单位（包括实行公务员管理的事业单位）后勤服务中心、医务室等附属事业单位。</w:t>
      </w:r>
    </w:p>
    <w:p>
      <w:pPr>
        <w:snapToGrid w:val="0"/>
        <w:spacing w:beforeLines="0" w:afterLines="0" w:line="560" w:lineRule="exact"/>
        <w:ind w:firstLine="640" w:firstLineChars="200"/>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b w:val="0"/>
          <w:bCs w:val="0"/>
          <w:sz w:val="32"/>
          <w:szCs w:val="32"/>
          <w:highlight w:val="none"/>
          <w:lang w:val="en-US" w:eastAsia="zh-CN"/>
        </w:rPr>
        <w:t>15.</w:t>
      </w:r>
      <w:r>
        <w:rPr>
          <w:rFonts w:hint="default" w:ascii="Times New Roman" w:hAnsi="Times New Roman" w:eastAsia="仿宋_GB2312" w:cs="Times New Roman"/>
          <w:b w:val="0"/>
          <w:bCs w:val="0"/>
          <w:sz w:val="32"/>
          <w:szCs w:val="32"/>
          <w:highlight w:val="none"/>
        </w:rPr>
        <w:t>住房保障支出</w:t>
      </w:r>
      <w:r>
        <w:rPr>
          <w:rFonts w:hint="default" w:ascii="Times New Roman" w:hAnsi="Times New Roman" w:eastAsia="仿宋_GB2312" w:cs="Times New Roman"/>
          <w:sz w:val="32"/>
          <w:szCs w:val="32"/>
          <w:highlight w:val="none"/>
        </w:rPr>
        <w:t>（类）住房改革支出（款）住房公积金（项）反映行政事业单位按人力资源和社会保障部、财政部规定的基本工资和津贴补贴以及规定比例为职工缴纳的住房公积金。</w:t>
      </w:r>
    </w:p>
    <w:p>
      <w:pPr>
        <w:snapToGrid w:val="0"/>
        <w:spacing w:beforeLines="0" w:afterLines="0" w:line="560" w:lineRule="exact"/>
        <w:ind w:firstLine="640" w:firstLineChars="200"/>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b w:val="0"/>
          <w:bCs w:val="0"/>
          <w:sz w:val="32"/>
          <w:szCs w:val="32"/>
          <w:highlight w:val="none"/>
          <w:lang w:val="en-US" w:eastAsia="zh-CN"/>
        </w:rPr>
        <w:t>16.</w:t>
      </w:r>
      <w:r>
        <w:rPr>
          <w:rFonts w:hint="default" w:ascii="Times New Roman" w:hAnsi="Times New Roman" w:eastAsia="仿宋_GB2312" w:cs="Times New Roman"/>
          <w:b w:val="0"/>
          <w:bCs w:val="0"/>
          <w:sz w:val="32"/>
          <w:szCs w:val="32"/>
          <w:highlight w:val="none"/>
        </w:rPr>
        <w:t>城乡社区支出</w:t>
      </w:r>
      <w:r>
        <w:rPr>
          <w:rFonts w:hint="default" w:ascii="Times New Roman" w:hAnsi="Times New Roman" w:eastAsia="仿宋_GB2312" w:cs="Times New Roman"/>
          <w:sz w:val="32"/>
          <w:szCs w:val="32"/>
          <w:highlight w:val="none"/>
        </w:rPr>
        <w:t>（类）国有土地使用权出让收入安排的支出（项）土地出让业务支出反映土地出让收入用于土地出让业务费用的支出。 </w:t>
      </w:r>
    </w:p>
    <w:p>
      <w:pPr>
        <w:pStyle w:val="10"/>
        <w:widowControl w:val="0"/>
        <w:numPr>
          <w:ilvl w:val="0"/>
          <w:numId w:val="0"/>
        </w:numPr>
        <w:spacing w:line="560" w:lineRule="exact"/>
        <w:rPr>
          <w:rFonts w:hint="eastAsia" w:eastAsia="仿宋_GB2312"/>
          <w:b/>
          <w:bCs/>
          <w:sz w:val="32"/>
          <w:szCs w:val="32"/>
        </w:rPr>
      </w:pPr>
    </w:p>
    <w:p>
      <w:pPr>
        <w:spacing w:line="530" w:lineRule="exact"/>
        <w:rPr>
          <w:rFonts w:ascii="Times New Roman" w:hAnsi="Times New Roman" w:cs="Times New Roman"/>
        </w:rPr>
      </w:pPr>
    </w:p>
    <w:p>
      <w:pPr>
        <w:wordWrap w:val="0"/>
        <w:spacing w:line="530" w:lineRule="exact"/>
        <w:jc w:val="righ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wordWrap w:val="0"/>
        <w:spacing w:line="530" w:lineRule="exact"/>
        <w:jc w:val="right"/>
        <w:rPr>
          <w:rFonts w:ascii="Times New Roman" w:hAnsi="Times New Roman" w:eastAsia="仿宋_GB2312" w:cs="Times New Roman"/>
          <w:sz w:val="32"/>
          <w:szCs w:val="32"/>
        </w:rPr>
      </w:pPr>
    </w:p>
    <w:p>
      <w:pPr>
        <w:wordWrap w:val="0"/>
        <w:spacing w:line="530" w:lineRule="exact"/>
        <w:jc w:val="right"/>
        <w:rPr>
          <w:rFonts w:ascii="Times New Roman" w:hAnsi="Times New Roman" w:eastAsia="仿宋_GB2312" w:cs="Times New Roman"/>
          <w:sz w:val="32"/>
          <w:szCs w:val="32"/>
        </w:rPr>
      </w:pPr>
    </w:p>
    <w:p>
      <w:pPr>
        <w:wordWrap w:val="0"/>
        <w:spacing w:line="530" w:lineRule="exact"/>
        <w:jc w:val="righ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ascii="Times New Roman" w:hAnsi="Times New Roman" w:eastAsia="仿宋_GB2312" w:cs="Times New Roman"/>
          <w:bCs/>
          <w:color w:val="000000"/>
          <w:sz w:val="32"/>
          <w:szCs w:val="32"/>
        </w:rPr>
        <w:t>金华市</w:t>
      </w:r>
      <w:r>
        <w:rPr>
          <w:rFonts w:ascii="Times New Roman" w:hAnsi="Times New Roman" w:eastAsia="楷体" w:cs="Times New Roman"/>
          <w:bCs/>
          <w:color w:val="000000"/>
          <w:sz w:val="32"/>
          <w:szCs w:val="32"/>
        </w:rPr>
        <w:t>自然资源和规划技术中心</w:t>
      </w:r>
    </w:p>
    <w:p>
      <w:pPr>
        <w:spacing w:line="530" w:lineRule="exact"/>
        <w:ind w:right="640"/>
        <w:jc w:val="righ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2021年3月 24 日 </w:t>
      </w:r>
    </w:p>
    <w:p>
      <w:pPr>
        <w:spacing w:line="530" w:lineRule="exact"/>
        <w:rPr>
          <w:rFonts w:ascii="Times New Roman" w:hAnsi="Times New Roman" w:cs="Times New Roman"/>
        </w:rPr>
      </w:pPr>
    </w:p>
    <w:p/>
    <w:sectPr>
      <w:footerReference r:id="rId3" w:type="default"/>
      <w:pgSz w:w="11906" w:h="16838"/>
      <w:pgMar w:top="1440" w:right="1800" w:bottom="1440" w:left="1800" w:header="851" w:footer="992" w:gutter="0"/>
      <w:pgNumType w:fmt="numberInDash" w:start="5"/>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创艺简标宋">
    <w:altName w:val="方正小标宋简体"/>
    <w:panose1 w:val="00000000000000000000"/>
    <w:charset w:val="86"/>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0248434"/>
      <w:showingPlcHdr/>
    </w:sdtPr>
    <w:sdtEndPr>
      <w:rPr>
        <w:rFonts w:asciiTheme="majorEastAsia" w:hAnsiTheme="majorEastAsia" w:eastAsiaTheme="majorEastAsia"/>
        <w:sz w:val="28"/>
        <w:szCs w:val="28"/>
      </w:rPr>
    </w:sdtEndPr>
    <w:sdtContent>
      <w:p>
        <w:pPr>
          <w:pStyle w:val="3"/>
          <w:ind w:right="180"/>
          <w:jc w:val="right"/>
          <w:rPr>
            <w:rFonts w:asciiTheme="majorEastAsia" w:hAnsiTheme="majorEastAsia" w:eastAsiaTheme="majorEastAsia"/>
            <w:sz w:val="28"/>
            <w:szCs w:val="28"/>
          </w:rPr>
        </w:pPr>
        <w:r>
          <w:t xml:space="preserve">     </w:t>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E1AD8"/>
    <w:multiLevelType w:val="singleLevel"/>
    <w:tmpl w:val="FFFE1AD8"/>
    <w:lvl w:ilvl="0" w:tentative="0">
      <w:start w:val="5"/>
      <w:numFmt w:val="decimal"/>
      <w:lvlText w:val="%1."/>
      <w:lvlJc w:val="left"/>
      <w:pPr>
        <w:tabs>
          <w:tab w:val="left" w:pos="312"/>
        </w:tabs>
      </w:pPr>
    </w:lvl>
  </w:abstractNum>
  <w:abstractNum w:abstractNumId="1">
    <w:nsid w:val="5893F62F"/>
    <w:multiLevelType w:val="singleLevel"/>
    <w:tmpl w:val="5893F62F"/>
    <w:lvl w:ilvl="0" w:tentative="0">
      <w:start w:val="2"/>
      <w:numFmt w:val="decimal"/>
      <w:suff w:val="nothing"/>
      <w:lvlText w:val="%1."/>
      <w:lvlJc w:val="left"/>
    </w:lvl>
  </w:abstractNum>
  <w:abstractNum w:abstractNumId="2">
    <w:nsid w:val="5895A99C"/>
    <w:multiLevelType w:val="singleLevel"/>
    <w:tmpl w:val="5895A99C"/>
    <w:lvl w:ilvl="0" w:tentative="0">
      <w:start w:val="5"/>
      <w:numFmt w:val="chineseCounting"/>
      <w:suff w:val="nothing"/>
      <w:lvlText w:val="（%1）"/>
      <w:lvlJc w:val="left"/>
      <w:rPr>
        <w:rFonts w:ascii="楷体" w:hAnsi="楷体" w:eastAsia="楷体"/>
        <w:b w:val="0"/>
      </w:rPr>
    </w:lvl>
  </w:abstractNum>
  <w:abstractNum w:abstractNumId="3">
    <w:nsid w:val="605301BA"/>
    <w:multiLevelType w:val="singleLevel"/>
    <w:tmpl w:val="605301BA"/>
    <w:lvl w:ilvl="0" w:tentative="0">
      <w:start w:val="1"/>
      <w:numFmt w:val="decimal"/>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E3B"/>
    <w:rsid w:val="000C6693"/>
    <w:rsid w:val="000D2826"/>
    <w:rsid w:val="002917CC"/>
    <w:rsid w:val="002C0553"/>
    <w:rsid w:val="00345EA3"/>
    <w:rsid w:val="0067564B"/>
    <w:rsid w:val="00717FB1"/>
    <w:rsid w:val="00787863"/>
    <w:rsid w:val="007C7464"/>
    <w:rsid w:val="00885A45"/>
    <w:rsid w:val="009129F3"/>
    <w:rsid w:val="009A384B"/>
    <w:rsid w:val="009F77F5"/>
    <w:rsid w:val="00B14E79"/>
    <w:rsid w:val="00CE644E"/>
    <w:rsid w:val="00D87E3B"/>
    <w:rsid w:val="3FFB44F5"/>
    <w:rsid w:val="7D4ED2CB"/>
    <w:rsid w:val="7EC5D12E"/>
    <w:rsid w:val="DFEB54E7"/>
    <w:rsid w:val="FDB6B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rFonts w:ascii="宋体" w:hAnsi="宋体" w:cs="Courier New"/>
      <w:b/>
      <w:bCs/>
      <w:sz w:val="32"/>
      <w:szCs w:val="32"/>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paragraph" w:customStyle="1" w:styleId="10">
    <w:name w:val="p0"/>
    <w:basedOn w:val="1"/>
    <w:qFormat/>
    <w:uiPriority w:val="0"/>
    <w:pPr>
      <w:widowControl/>
    </w:pPr>
    <w:rPr>
      <w:rFonts w:ascii="Times New Roman" w:hAnsi="Times New Roman" w:eastAsia="宋体" w:cs="Times New Roman"/>
      <w:kern w:val="0"/>
      <w:szCs w:val="21"/>
    </w:r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339</Words>
  <Characters>1938</Characters>
  <Lines>16</Lines>
  <Paragraphs>4</Paragraphs>
  <TotalTime>9</TotalTime>
  <ScaleCrop>false</ScaleCrop>
  <LinksUpToDate>false</LinksUpToDate>
  <CharactersWithSpaces>2273</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2021-03-24T17:50:00Z</dcterms:created>
  <dc:creator>FY</dc:creator>
  <cp:lastModifiedBy>uos</cp:lastModifiedBy>
  <cp:lastPrinted>2021-03-24T19:40:00Z</cp:lastPrinted>
  <dcterms:modified xsi:type="dcterms:W3CDTF">2022-08-25T09:55:05Z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